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98A1" w14:textId="57B91EED" w:rsidR="0012388D" w:rsidRDefault="00772BDC" w:rsidP="00CA5734">
      <w:pPr>
        <w:rPr>
          <w:rFonts w:cs="Arial"/>
        </w:rPr>
      </w:pPr>
      <w:bookmarkStart w:id="0" w:name="_GoBack"/>
      <w:bookmarkEnd w:id="0"/>
      <w:r>
        <w:rPr>
          <w:rFonts w:cs="Arial"/>
          <w:noProof/>
          <w:lang w:eastAsia="en-GB" w:bidi="ar-SA"/>
        </w:rPr>
        <w:drawing>
          <wp:inline distT="0" distB="0" distL="0" distR="0" wp14:anchorId="314F9980" wp14:editId="73E45937">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14F98A2" w14:textId="77777777" w:rsidR="00A671E6" w:rsidRPr="00A671E6" w:rsidRDefault="00A671E6" w:rsidP="00A671E6">
      <w:pPr>
        <w:rPr>
          <w:color w:val="FF0000"/>
        </w:rPr>
      </w:pPr>
    </w:p>
    <w:p w14:paraId="314F98A3" w14:textId="1F761688" w:rsidR="00A671E6" w:rsidRPr="008818A6" w:rsidRDefault="008818A6" w:rsidP="00A671E6">
      <w:pPr>
        <w:rPr>
          <w:b/>
          <w:sz w:val="28"/>
          <w:szCs w:val="28"/>
        </w:rPr>
      </w:pPr>
      <w:r w:rsidRPr="008818A6">
        <w:rPr>
          <w:b/>
          <w:sz w:val="28"/>
          <w:szCs w:val="28"/>
        </w:rPr>
        <w:t>20</w:t>
      </w:r>
      <w:r w:rsidR="00A671E6" w:rsidRPr="008818A6">
        <w:rPr>
          <w:b/>
          <w:sz w:val="28"/>
          <w:szCs w:val="28"/>
        </w:rPr>
        <w:t xml:space="preserve"> </w:t>
      </w:r>
      <w:r w:rsidRPr="008818A6">
        <w:rPr>
          <w:b/>
          <w:sz w:val="28"/>
          <w:szCs w:val="28"/>
        </w:rPr>
        <w:t>September</w:t>
      </w:r>
      <w:r w:rsidR="00A66FDD" w:rsidRPr="008818A6">
        <w:rPr>
          <w:b/>
          <w:sz w:val="28"/>
          <w:szCs w:val="28"/>
        </w:rPr>
        <w:t xml:space="preserve"> 201</w:t>
      </w:r>
      <w:r w:rsidR="006B1090" w:rsidRPr="008818A6">
        <w:rPr>
          <w:b/>
          <w:sz w:val="28"/>
          <w:szCs w:val="28"/>
        </w:rPr>
        <w:t>8</w:t>
      </w:r>
    </w:p>
    <w:p w14:paraId="314F98A4" w14:textId="06E93CBD" w:rsidR="00A671E6" w:rsidRPr="008818A6" w:rsidRDefault="008818A6" w:rsidP="00A671E6">
      <w:pPr>
        <w:rPr>
          <w:b/>
          <w:sz w:val="28"/>
          <w:szCs w:val="28"/>
        </w:rPr>
      </w:pPr>
      <w:r w:rsidRPr="008818A6">
        <w:rPr>
          <w:b/>
          <w:sz w:val="28"/>
          <w:szCs w:val="28"/>
        </w:rPr>
        <w:t>[59</w:t>
      </w:r>
      <w:r w:rsidR="00831154" w:rsidRPr="008818A6">
        <w:rPr>
          <w:b/>
          <w:sz w:val="28"/>
          <w:szCs w:val="28"/>
        </w:rPr>
        <w:t>-1</w:t>
      </w:r>
      <w:r w:rsidRPr="008818A6">
        <w:rPr>
          <w:b/>
          <w:sz w:val="28"/>
          <w:szCs w:val="28"/>
        </w:rPr>
        <w:t>8</w:t>
      </w:r>
      <w:r w:rsidR="00A671E6" w:rsidRPr="008818A6">
        <w:rPr>
          <w:b/>
          <w:sz w:val="28"/>
          <w:szCs w:val="28"/>
        </w:rPr>
        <w:t>]</w:t>
      </w:r>
    </w:p>
    <w:p w14:paraId="314F98A5" w14:textId="77777777" w:rsidR="00A671E6" w:rsidRPr="008818A6" w:rsidRDefault="00A671E6" w:rsidP="00A671E6"/>
    <w:p w14:paraId="314F98A6" w14:textId="0D9B5699" w:rsidR="0012388D" w:rsidRPr="008818A6" w:rsidRDefault="00B425AA" w:rsidP="00B425AA">
      <w:pPr>
        <w:pStyle w:val="FSTitle"/>
      </w:pPr>
      <w:r w:rsidRPr="008818A6">
        <w:t>A</w:t>
      </w:r>
      <w:r w:rsidR="00DD265C" w:rsidRPr="008818A6">
        <w:t>pproval</w:t>
      </w:r>
      <w:r w:rsidRPr="008818A6">
        <w:t xml:space="preserve"> </w:t>
      </w:r>
      <w:r w:rsidR="00B77C18" w:rsidRPr="008818A6">
        <w:t>r</w:t>
      </w:r>
      <w:r w:rsidR="00DD265C" w:rsidRPr="008818A6">
        <w:t>eport</w:t>
      </w:r>
      <w:r w:rsidRPr="008818A6">
        <w:t xml:space="preserve"> – </w:t>
      </w:r>
      <w:r w:rsidR="00CA5734" w:rsidRPr="008818A6">
        <w:t>P</w:t>
      </w:r>
      <w:r w:rsidR="00DD265C" w:rsidRPr="008818A6">
        <w:t>roposal</w:t>
      </w:r>
      <w:r w:rsidR="00EF0D09" w:rsidRPr="008818A6">
        <w:t xml:space="preserve"> </w:t>
      </w:r>
      <w:r w:rsidR="006220A4" w:rsidRPr="008818A6">
        <w:t>P10</w:t>
      </w:r>
      <w:r w:rsidR="00FB171F" w:rsidRPr="008818A6">
        <w:t>48</w:t>
      </w:r>
    </w:p>
    <w:p w14:paraId="314F98A7" w14:textId="77777777" w:rsidR="003A7B84" w:rsidRPr="008818A6" w:rsidRDefault="003A7B84" w:rsidP="00A671E6"/>
    <w:p w14:paraId="314F98A8" w14:textId="6F6F5350" w:rsidR="0012388D" w:rsidRPr="008818A6" w:rsidRDefault="00EF0D09" w:rsidP="00B425AA">
      <w:pPr>
        <w:pStyle w:val="FSTitle"/>
      </w:pPr>
      <w:r w:rsidRPr="008818A6">
        <w:t xml:space="preserve">Code Revision </w:t>
      </w:r>
      <w:r w:rsidR="00A017EB" w:rsidRPr="008818A6">
        <w:t>(</w:t>
      </w:r>
      <w:r w:rsidR="006220A4" w:rsidRPr="008818A6">
        <w:t>201</w:t>
      </w:r>
      <w:r w:rsidR="00FB171F" w:rsidRPr="008818A6">
        <w:t>8</w:t>
      </w:r>
      <w:r w:rsidR="00FE0D8F" w:rsidRPr="008818A6">
        <w:t>)</w:t>
      </w:r>
    </w:p>
    <w:p w14:paraId="314F98A9" w14:textId="77777777" w:rsidR="003A7B84" w:rsidRPr="008818A6" w:rsidRDefault="003A7B84" w:rsidP="00871116">
      <w:pPr>
        <w:pBdr>
          <w:bottom w:val="single" w:sz="12" w:space="1" w:color="auto"/>
        </w:pBdr>
        <w:tabs>
          <w:tab w:val="left" w:pos="1140"/>
        </w:tabs>
        <w:rPr>
          <w:rFonts w:cs="Arial"/>
          <w:bCs/>
        </w:rPr>
      </w:pPr>
    </w:p>
    <w:p w14:paraId="314F98AA" w14:textId="77777777" w:rsidR="003A7B84" w:rsidRPr="008818A6" w:rsidRDefault="003A7B84" w:rsidP="003A7B84"/>
    <w:p w14:paraId="314F98AB" w14:textId="0E1C6CB0" w:rsidR="00EB6590" w:rsidRPr="008818A6" w:rsidRDefault="000F3CFE" w:rsidP="00CA5734">
      <w:r w:rsidRPr="008818A6">
        <w:t xml:space="preserve">Food Standards Australia New Zealand (FSANZ) </w:t>
      </w:r>
      <w:r w:rsidR="0028218D" w:rsidRPr="008818A6">
        <w:rPr>
          <w:lang w:bidi="ar-SA"/>
        </w:rPr>
        <w:t xml:space="preserve">has approved amendments to the </w:t>
      </w:r>
      <w:r w:rsidR="0028218D" w:rsidRPr="008818A6">
        <w:rPr>
          <w:i/>
          <w:lang w:bidi="ar-SA"/>
        </w:rPr>
        <w:t>Australia New Zealand Food Standards Code</w:t>
      </w:r>
      <w:r w:rsidR="0028218D" w:rsidRPr="008818A6">
        <w:rPr>
          <w:lang w:bidi="ar-SA"/>
        </w:rPr>
        <w:t xml:space="preserve"> (the Code) </w:t>
      </w:r>
      <w:r w:rsidR="00085414" w:rsidRPr="008818A6">
        <w:rPr>
          <w:lang w:bidi="ar-SA"/>
        </w:rPr>
        <w:t>to</w:t>
      </w:r>
      <w:r w:rsidR="0028218D" w:rsidRPr="008818A6">
        <w:rPr>
          <w:lang w:bidi="ar-SA"/>
        </w:rPr>
        <w:t xml:space="preserve"> correct</w:t>
      </w:r>
      <w:r w:rsidR="00085414" w:rsidRPr="008818A6">
        <w:rPr>
          <w:lang w:bidi="ar-SA"/>
        </w:rPr>
        <w:t xml:space="preserve"> </w:t>
      </w:r>
      <w:r w:rsidR="0028218D" w:rsidRPr="008818A6">
        <w:rPr>
          <w:lang w:bidi="ar-SA"/>
        </w:rPr>
        <w:t>typographical errors</w:t>
      </w:r>
      <w:r w:rsidR="00085414" w:rsidRPr="008818A6">
        <w:rPr>
          <w:lang w:bidi="ar-SA"/>
        </w:rPr>
        <w:t xml:space="preserve"> and</w:t>
      </w:r>
      <w:r w:rsidR="0028218D" w:rsidRPr="008818A6">
        <w:rPr>
          <w:lang w:bidi="ar-SA"/>
        </w:rPr>
        <w:t xml:space="preserve"> formatting issues</w:t>
      </w:r>
      <w:r w:rsidR="00085414" w:rsidRPr="008818A6">
        <w:rPr>
          <w:lang w:bidi="ar-SA"/>
        </w:rPr>
        <w:t xml:space="preserve"> and to</w:t>
      </w:r>
      <w:r w:rsidR="0028218D" w:rsidRPr="008818A6">
        <w:rPr>
          <w:lang w:bidi="ar-SA"/>
        </w:rPr>
        <w:t xml:space="preserve"> updat</w:t>
      </w:r>
      <w:r w:rsidR="00085414" w:rsidRPr="008818A6">
        <w:rPr>
          <w:lang w:bidi="ar-SA"/>
        </w:rPr>
        <w:t>e</w:t>
      </w:r>
      <w:r w:rsidR="0028218D" w:rsidRPr="008818A6">
        <w:rPr>
          <w:lang w:bidi="ar-SA"/>
        </w:rPr>
        <w:t xml:space="preserve"> references</w:t>
      </w:r>
      <w:r w:rsidR="00081B0A" w:rsidRPr="008818A6">
        <w:t>.</w:t>
      </w:r>
    </w:p>
    <w:p w14:paraId="314F98AC" w14:textId="3948E8AF" w:rsidR="00CA5734" w:rsidRPr="008818A6" w:rsidRDefault="005B0E68" w:rsidP="005B0E68">
      <w:pPr>
        <w:tabs>
          <w:tab w:val="left" w:pos="3654"/>
        </w:tabs>
      </w:pPr>
      <w:r w:rsidRPr="008818A6">
        <w:tab/>
      </w:r>
    </w:p>
    <w:p w14:paraId="314F98AD" w14:textId="78DD5A58" w:rsidR="00081B0A" w:rsidRPr="008818A6" w:rsidRDefault="00FE0D8F" w:rsidP="00CA5734">
      <w:r w:rsidRPr="008818A6">
        <w:t xml:space="preserve">On </w:t>
      </w:r>
      <w:r w:rsidR="00FB171F" w:rsidRPr="008818A6">
        <w:t>15 May 2018</w:t>
      </w:r>
      <w:r w:rsidR="003A7B84" w:rsidRPr="008818A6">
        <w:t>,</w:t>
      </w:r>
      <w:r w:rsidR="00081B0A" w:rsidRPr="008818A6">
        <w:t xml:space="preserve"> FSANZ sought </w:t>
      </w:r>
      <w:r w:rsidR="003A7B84" w:rsidRPr="008818A6">
        <w:t xml:space="preserve">submissions </w:t>
      </w:r>
      <w:r w:rsidR="00A671E6" w:rsidRPr="008818A6">
        <w:t xml:space="preserve">on </w:t>
      </w:r>
      <w:r w:rsidR="00F526BD" w:rsidRPr="008818A6">
        <w:t xml:space="preserve">draft </w:t>
      </w:r>
      <w:r w:rsidR="00E30092" w:rsidRPr="008818A6">
        <w:t>variation</w:t>
      </w:r>
      <w:r w:rsidR="000B7762" w:rsidRPr="008818A6">
        <w:t>s</w:t>
      </w:r>
      <w:r w:rsidR="003A7B84" w:rsidRPr="008818A6">
        <w:t xml:space="preserve"> and published an </w:t>
      </w:r>
      <w:r w:rsidR="00EC21DF" w:rsidRPr="008818A6">
        <w:t>associated r</w:t>
      </w:r>
      <w:r w:rsidR="003A7B84" w:rsidRPr="008818A6">
        <w:t>eport</w:t>
      </w:r>
      <w:r w:rsidR="00081B0A" w:rsidRPr="008818A6">
        <w:t>.</w:t>
      </w:r>
      <w:r w:rsidR="00F526BD" w:rsidRPr="008818A6">
        <w:t xml:space="preserve"> FSANZ received </w:t>
      </w:r>
      <w:r w:rsidR="00FB171F" w:rsidRPr="008818A6">
        <w:t>three</w:t>
      </w:r>
      <w:r w:rsidR="006220A4" w:rsidRPr="008818A6">
        <w:t xml:space="preserve"> </w:t>
      </w:r>
      <w:r w:rsidR="00F526BD" w:rsidRPr="008818A6">
        <w:t>submissions.</w:t>
      </w:r>
    </w:p>
    <w:p w14:paraId="314F98AE" w14:textId="77777777" w:rsidR="00CA5734" w:rsidRPr="008818A6" w:rsidRDefault="00CA5734" w:rsidP="00CA5734"/>
    <w:p w14:paraId="314F98AF" w14:textId="5BEC30B7" w:rsidR="00081B0A" w:rsidRPr="008818A6" w:rsidRDefault="00081B0A" w:rsidP="00CA5734">
      <w:r w:rsidRPr="008818A6">
        <w:t xml:space="preserve">FSANZ approved the draft </w:t>
      </w:r>
      <w:r w:rsidR="00E30092" w:rsidRPr="008818A6">
        <w:t>variation</w:t>
      </w:r>
      <w:r w:rsidR="003A7B84" w:rsidRPr="008818A6">
        <w:t xml:space="preserve"> </w:t>
      </w:r>
      <w:r w:rsidR="0028218D" w:rsidRPr="008818A6">
        <w:t xml:space="preserve">with amendments </w:t>
      </w:r>
      <w:r w:rsidR="0012388D" w:rsidRPr="008818A6">
        <w:t xml:space="preserve">on </w:t>
      </w:r>
      <w:r w:rsidR="008818A6" w:rsidRPr="008818A6">
        <w:t>5 September 2018.</w:t>
      </w:r>
      <w:r w:rsidRPr="008818A6">
        <w:t xml:space="preserve"> </w:t>
      </w:r>
      <w:r w:rsidR="003A7B84" w:rsidRPr="008818A6">
        <w:t xml:space="preserve">The </w:t>
      </w:r>
      <w:r w:rsidR="00011187" w:rsidRPr="008818A6">
        <w:rPr>
          <w:rFonts w:cs="Helvetica"/>
          <w:lang w:val="en-AU"/>
        </w:rPr>
        <w:t xml:space="preserve">Australia and New Zealand Ministerial Forum on Food </w:t>
      </w:r>
      <w:r w:rsidR="00011187" w:rsidRPr="008818A6">
        <w:rPr>
          <w:rFonts w:cs="Arial"/>
        </w:rPr>
        <w:t>Regulation</w:t>
      </w:r>
      <w:r w:rsidR="00011187" w:rsidRPr="008818A6">
        <w:rPr>
          <w:rFonts w:cs="Helvetica"/>
          <w:lang w:val="en-AU"/>
        </w:rPr>
        <w:t xml:space="preserve"> </w:t>
      </w:r>
      <w:r w:rsidR="00861C13" w:rsidRPr="008818A6">
        <w:rPr>
          <w:rFonts w:cs="Arial"/>
        </w:rPr>
        <w:t>(F</w:t>
      </w:r>
      <w:r w:rsidR="00014E34" w:rsidRPr="008818A6">
        <w:rPr>
          <w:rFonts w:cs="Arial"/>
        </w:rPr>
        <w:t>orum</w:t>
      </w:r>
      <w:r w:rsidR="00861C13" w:rsidRPr="008818A6">
        <w:rPr>
          <w:rFonts w:cs="Arial"/>
        </w:rPr>
        <w:t>)</w:t>
      </w:r>
      <w:r w:rsidR="003A7B84" w:rsidRPr="008818A6">
        <w:t xml:space="preserve"> was notified of FSANZ’s decision on </w:t>
      </w:r>
      <w:r w:rsidR="008818A6" w:rsidRPr="008818A6">
        <w:t>18 September 2018.</w:t>
      </w:r>
    </w:p>
    <w:p w14:paraId="314F98B0" w14:textId="77777777" w:rsidR="00CA5734" w:rsidRPr="008818A6" w:rsidRDefault="00CA5734" w:rsidP="00CA5734"/>
    <w:p w14:paraId="314F98B1" w14:textId="5AE732FC" w:rsidR="00081B0A" w:rsidRPr="00653D9D" w:rsidRDefault="003A7B84" w:rsidP="00292B9B">
      <w:r w:rsidRPr="00653D9D">
        <w:t>This R</w:t>
      </w:r>
      <w:r w:rsidR="00B425AA" w:rsidRPr="00653D9D">
        <w:t xml:space="preserve">eport is provided pursuant to </w:t>
      </w:r>
      <w:r w:rsidR="009A2699" w:rsidRPr="00653D9D">
        <w:t>paragraph</w:t>
      </w:r>
      <w:r w:rsidR="00081B0A" w:rsidRPr="00653D9D">
        <w:t xml:space="preserve"> </w:t>
      </w:r>
      <w:r w:rsidR="002360E5" w:rsidRPr="00653D9D">
        <w:t>6</w:t>
      </w:r>
      <w:r w:rsidR="00F33470" w:rsidRPr="00653D9D">
        <w:t>3(1)(b)</w:t>
      </w:r>
      <w:r w:rsidR="00081B0A" w:rsidRPr="00653D9D">
        <w:t xml:space="preserve"> of the </w:t>
      </w:r>
      <w:r w:rsidR="00081B0A" w:rsidRPr="00653D9D">
        <w:rPr>
          <w:i/>
        </w:rPr>
        <w:t>Food Standards Australia New Zealand Act 1991</w:t>
      </w:r>
      <w:r w:rsidR="00081B0A" w:rsidRPr="00653D9D">
        <w:t xml:space="preserve"> (the FSANZ Act).</w:t>
      </w:r>
    </w:p>
    <w:p w14:paraId="314F98B2" w14:textId="77777777" w:rsidR="00F526BD" w:rsidRPr="00653D9D" w:rsidRDefault="00F526BD" w:rsidP="00A671E6"/>
    <w:p w14:paraId="314F98B3" w14:textId="77777777" w:rsidR="00EB6590" w:rsidRPr="00653D9D" w:rsidRDefault="00EB6590" w:rsidP="00F526BD"/>
    <w:p w14:paraId="314F98B4" w14:textId="77777777" w:rsidR="00A671E6" w:rsidRPr="00653D9D" w:rsidRDefault="00A671E6" w:rsidP="00CC5468">
      <w:pPr>
        <w:sectPr w:rsidR="00A671E6" w:rsidRPr="00653D9D"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314F98B5" w14:textId="77777777" w:rsidR="0012388D" w:rsidRPr="00653D9D" w:rsidRDefault="00D15A08" w:rsidP="00EC66BB">
      <w:pPr>
        <w:jc w:val="center"/>
        <w:rPr>
          <w:sz w:val="28"/>
          <w:szCs w:val="28"/>
        </w:rPr>
      </w:pPr>
      <w:r w:rsidRPr="00653D9D">
        <w:rPr>
          <w:sz w:val="28"/>
          <w:szCs w:val="28"/>
        </w:rPr>
        <w:lastRenderedPageBreak/>
        <w:t xml:space="preserve">Table of </w:t>
      </w:r>
      <w:r w:rsidR="00B63BBA" w:rsidRPr="00653D9D">
        <w:rPr>
          <w:sz w:val="28"/>
          <w:szCs w:val="28"/>
        </w:rPr>
        <w:t>c</w:t>
      </w:r>
      <w:r w:rsidRPr="00653D9D">
        <w:rPr>
          <w:sz w:val="28"/>
          <w:szCs w:val="28"/>
        </w:rPr>
        <w:t>ontents</w:t>
      </w:r>
    </w:p>
    <w:p w14:paraId="314F98B6" w14:textId="77777777" w:rsidR="00CE59AA" w:rsidRPr="00653D9D" w:rsidRDefault="00CE59AA" w:rsidP="00CE59AA">
      <w:pPr>
        <w:rPr>
          <w:rFonts w:cs="Arial"/>
          <w:sz w:val="20"/>
          <w:szCs w:val="20"/>
        </w:rPr>
      </w:pPr>
    </w:p>
    <w:p w14:paraId="0EAA5DCF" w14:textId="6B806C68" w:rsidR="00312CB2" w:rsidRPr="00D5047D" w:rsidRDefault="00B55714">
      <w:pPr>
        <w:pStyle w:val="TOC1"/>
        <w:tabs>
          <w:tab w:val="right" w:leader="dot" w:pos="9060"/>
        </w:tabs>
        <w:rPr>
          <w:rFonts w:ascii="Arial" w:eastAsiaTheme="minorEastAsia" w:hAnsi="Arial"/>
          <w:b w:val="0"/>
          <w:caps w:val="0"/>
          <w:sz w:val="22"/>
          <w:lang w:eastAsia="en-GB"/>
        </w:rPr>
      </w:pPr>
      <w:r w:rsidRPr="00663713">
        <w:rPr>
          <w:rFonts w:ascii="Arial" w:hAnsi="Arial" w:cs="Arial"/>
          <w:b w:val="0"/>
          <w:bCs w:val="0"/>
          <w:caps w:val="0"/>
          <w:smallCaps/>
        </w:rPr>
        <w:fldChar w:fldCharType="begin"/>
      </w:r>
      <w:r w:rsidRPr="00653D9D">
        <w:rPr>
          <w:rFonts w:ascii="Arial" w:hAnsi="Arial" w:cs="Arial"/>
        </w:rPr>
        <w:instrText xml:space="preserve"> TOC \h \z \t "Heading 1,1,Heading 2,2,Heading 3,3" </w:instrText>
      </w:r>
      <w:r w:rsidRPr="00663713">
        <w:rPr>
          <w:rFonts w:ascii="Arial" w:hAnsi="Arial" w:cs="Arial"/>
          <w:b w:val="0"/>
          <w:caps w:val="0"/>
          <w:smallCaps/>
        </w:rPr>
        <w:fldChar w:fldCharType="separate"/>
      </w:r>
      <w:hyperlink w:anchor="_Toc471478933" w:history="1">
        <w:r w:rsidR="00312CB2" w:rsidRPr="00D5047D">
          <w:rPr>
            <w:rStyle w:val="Hyperlink"/>
            <w:rFonts w:ascii="Arial" w:hAnsi="Arial"/>
            <w:color w:val="auto"/>
          </w:rPr>
          <w:t>Executive summary</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_Toc471478933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2</w:t>
        </w:r>
        <w:r w:rsidR="00312CB2" w:rsidRPr="00D5047D">
          <w:rPr>
            <w:rFonts w:ascii="Arial" w:hAnsi="Arial"/>
            <w:webHidden/>
          </w:rPr>
          <w:fldChar w:fldCharType="end"/>
        </w:r>
      </w:hyperlink>
    </w:p>
    <w:p w14:paraId="38DD825A" w14:textId="38CBC88B" w:rsidR="00312CB2" w:rsidRPr="00D5047D" w:rsidRDefault="008818A6">
      <w:pPr>
        <w:pStyle w:val="TOC1"/>
        <w:tabs>
          <w:tab w:val="left" w:pos="440"/>
          <w:tab w:val="right" w:leader="dot" w:pos="9060"/>
        </w:tabs>
        <w:rPr>
          <w:rFonts w:ascii="Arial" w:eastAsiaTheme="minorEastAsia" w:hAnsi="Arial"/>
          <w:b w:val="0"/>
          <w:caps w:val="0"/>
          <w:sz w:val="22"/>
          <w:lang w:eastAsia="en-GB"/>
        </w:rPr>
      </w:pPr>
      <w:hyperlink w:anchor="_Toc471478934" w:history="1">
        <w:r w:rsidR="00312CB2" w:rsidRPr="00D5047D">
          <w:rPr>
            <w:rStyle w:val="Hyperlink"/>
            <w:rFonts w:ascii="Arial" w:hAnsi="Arial"/>
            <w:color w:val="auto"/>
          </w:rPr>
          <w:t>1</w:t>
        </w:r>
        <w:r w:rsidR="00312CB2" w:rsidRPr="00D5047D">
          <w:rPr>
            <w:rFonts w:ascii="Arial" w:eastAsiaTheme="minorEastAsia" w:hAnsi="Arial"/>
            <w:b w:val="0"/>
            <w:caps w:val="0"/>
            <w:sz w:val="22"/>
            <w:lang w:eastAsia="en-GB"/>
          </w:rPr>
          <w:tab/>
        </w:r>
        <w:r w:rsidR="00312CB2" w:rsidRPr="00D5047D">
          <w:rPr>
            <w:rStyle w:val="Hyperlink"/>
            <w:rFonts w:ascii="Arial" w:hAnsi="Arial"/>
            <w:color w:val="auto"/>
          </w:rPr>
          <w:t>Introduction</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_Toc471478934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3</w:t>
        </w:r>
        <w:r w:rsidR="00312CB2" w:rsidRPr="00D5047D">
          <w:rPr>
            <w:rFonts w:ascii="Arial" w:hAnsi="Arial"/>
            <w:webHidden/>
          </w:rPr>
          <w:fldChar w:fldCharType="end"/>
        </w:r>
      </w:hyperlink>
    </w:p>
    <w:p w14:paraId="24DE7A5C" w14:textId="7CD95296" w:rsidR="00312CB2" w:rsidRPr="00D5047D" w:rsidRDefault="008818A6">
      <w:pPr>
        <w:pStyle w:val="TOC2"/>
        <w:tabs>
          <w:tab w:val="left" w:pos="880"/>
          <w:tab w:val="right" w:leader="dot" w:pos="9060"/>
        </w:tabs>
        <w:rPr>
          <w:rFonts w:ascii="Arial" w:eastAsiaTheme="minorEastAsia" w:hAnsi="Arial"/>
          <w:smallCaps w:val="0"/>
          <w:sz w:val="22"/>
          <w:lang w:eastAsia="en-GB"/>
        </w:rPr>
      </w:pPr>
      <w:hyperlink w:anchor="_Toc471478935" w:history="1">
        <w:r w:rsidR="00312CB2" w:rsidRPr="00D5047D">
          <w:rPr>
            <w:rStyle w:val="Hyperlink"/>
            <w:rFonts w:ascii="Arial" w:hAnsi="Arial"/>
            <w:color w:val="auto"/>
          </w:rPr>
          <w:t>1.1</w:t>
        </w:r>
        <w:r w:rsidR="00312CB2" w:rsidRPr="00D5047D">
          <w:rPr>
            <w:rFonts w:ascii="Arial" w:eastAsiaTheme="minorEastAsia" w:hAnsi="Arial"/>
            <w:smallCaps w:val="0"/>
            <w:sz w:val="22"/>
            <w:lang w:eastAsia="en-GB"/>
          </w:rPr>
          <w:tab/>
        </w:r>
        <w:r w:rsidR="00312CB2" w:rsidRPr="00D5047D">
          <w:rPr>
            <w:rStyle w:val="Hyperlink"/>
            <w:rFonts w:ascii="Arial" w:hAnsi="Arial"/>
            <w:color w:val="auto"/>
          </w:rPr>
          <w:t>The Proposal</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_Toc471478935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3</w:t>
        </w:r>
        <w:r w:rsidR="00312CB2" w:rsidRPr="00D5047D">
          <w:rPr>
            <w:rFonts w:ascii="Arial" w:hAnsi="Arial"/>
            <w:webHidden/>
          </w:rPr>
          <w:fldChar w:fldCharType="end"/>
        </w:r>
      </w:hyperlink>
    </w:p>
    <w:p w14:paraId="0608CFBA" w14:textId="38423962" w:rsidR="00312CB2" w:rsidRPr="00D5047D" w:rsidRDefault="008818A6">
      <w:pPr>
        <w:pStyle w:val="TOC2"/>
        <w:tabs>
          <w:tab w:val="left" w:pos="880"/>
          <w:tab w:val="right" w:leader="dot" w:pos="9060"/>
        </w:tabs>
        <w:rPr>
          <w:rFonts w:ascii="Arial" w:eastAsiaTheme="minorEastAsia" w:hAnsi="Arial"/>
          <w:smallCaps w:val="0"/>
          <w:sz w:val="22"/>
          <w:lang w:eastAsia="en-GB"/>
        </w:rPr>
      </w:pPr>
      <w:hyperlink w:anchor="_Toc471478936" w:history="1">
        <w:r w:rsidR="00312CB2" w:rsidRPr="00D5047D">
          <w:rPr>
            <w:rStyle w:val="Hyperlink"/>
            <w:rFonts w:ascii="Arial" w:hAnsi="Arial"/>
            <w:color w:val="auto"/>
          </w:rPr>
          <w:t>1.2</w:t>
        </w:r>
        <w:r w:rsidR="00312CB2" w:rsidRPr="00D5047D">
          <w:rPr>
            <w:rFonts w:ascii="Arial" w:eastAsiaTheme="minorEastAsia" w:hAnsi="Arial"/>
            <w:smallCaps w:val="0"/>
            <w:sz w:val="22"/>
            <w:lang w:eastAsia="en-GB"/>
          </w:rPr>
          <w:tab/>
        </w:r>
        <w:r w:rsidR="00312CB2" w:rsidRPr="00D5047D">
          <w:rPr>
            <w:rStyle w:val="Hyperlink"/>
            <w:rFonts w:ascii="Arial" w:hAnsi="Arial"/>
            <w:color w:val="auto"/>
          </w:rPr>
          <w:t>The current Standard</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_Toc471478936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3</w:t>
        </w:r>
        <w:r w:rsidR="00312CB2" w:rsidRPr="00D5047D">
          <w:rPr>
            <w:rFonts w:ascii="Arial" w:hAnsi="Arial"/>
            <w:webHidden/>
          </w:rPr>
          <w:fldChar w:fldCharType="end"/>
        </w:r>
      </w:hyperlink>
    </w:p>
    <w:p w14:paraId="1B15BDCE" w14:textId="5FA025DD" w:rsidR="00312CB2" w:rsidRPr="00D5047D" w:rsidRDefault="008818A6">
      <w:pPr>
        <w:pStyle w:val="TOC2"/>
        <w:tabs>
          <w:tab w:val="left" w:pos="880"/>
          <w:tab w:val="right" w:leader="dot" w:pos="9060"/>
        </w:tabs>
        <w:rPr>
          <w:rFonts w:ascii="Arial" w:eastAsiaTheme="minorEastAsia" w:hAnsi="Arial"/>
          <w:smallCaps w:val="0"/>
          <w:sz w:val="22"/>
          <w:lang w:eastAsia="en-GB"/>
        </w:rPr>
      </w:pPr>
      <w:hyperlink w:anchor="_Toc471478937" w:history="1">
        <w:r w:rsidR="00312CB2" w:rsidRPr="00D5047D">
          <w:rPr>
            <w:rStyle w:val="Hyperlink"/>
            <w:rFonts w:ascii="Arial" w:hAnsi="Arial"/>
            <w:color w:val="auto"/>
            <w:u w:color="FFFF00"/>
          </w:rPr>
          <w:t>1.3</w:t>
        </w:r>
        <w:r w:rsidR="00312CB2" w:rsidRPr="00D5047D">
          <w:rPr>
            <w:rFonts w:ascii="Arial" w:eastAsiaTheme="minorEastAsia" w:hAnsi="Arial"/>
            <w:smallCaps w:val="0"/>
            <w:sz w:val="22"/>
            <w:lang w:eastAsia="en-GB"/>
          </w:rPr>
          <w:tab/>
        </w:r>
        <w:r w:rsidR="00312CB2" w:rsidRPr="00D5047D">
          <w:rPr>
            <w:rStyle w:val="Hyperlink"/>
            <w:rFonts w:ascii="Arial" w:hAnsi="Arial"/>
            <w:color w:val="auto"/>
            <w:u w:color="FFFF00"/>
          </w:rPr>
          <w:t xml:space="preserve">Reasons for </w:t>
        </w:r>
        <w:r w:rsidR="00312CB2" w:rsidRPr="00D5047D">
          <w:rPr>
            <w:rStyle w:val="Hyperlink"/>
            <w:rFonts w:ascii="Arial" w:hAnsi="Arial"/>
            <w:color w:val="auto"/>
          </w:rPr>
          <w:t>preparing Proposal</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_Toc471478937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3</w:t>
        </w:r>
        <w:r w:rsidR="00312CB2" w:rsidRPr="00D5047D">
          <w:rPr>
            <w:rFonts w:ascii="Arial" w:hAnsi="Arial"/>
            <w:webHidden/>
          </w:rPr>
          <w:fldChar w:fldCharType="end"/>
        </w:r>
      </w:hyperlink>
    </w:p>
    <w:p w14:paraId="2C1F5A42" w14:textId="1DD97125" w:rsidR="00312CB2" w:rsidRPr="00D5047D" w:rsidRDefault="008818A6">
      <w:pPr>
        <w:pStyle w:val="TOC2"/>
        <w:tabs>
          <w:tab w:val="left" w:pos="880"/>
          <w:tab w:val="right" w:leader="dot" w:pos="9060"/>
        </w:tabs>
        <w:rPr>
          <w:rFonts w:ascii="Arial" w:eastAsiaTheme="minorEastAsia" w:hAnsi="Arial"/>
          <w:smallCaps w:val="0"/>
          <w:sz w:val="22"/>
          <w:lang w:eastAsia="en-GB"/>
        </w:rPr>
      </w:pPr>
      <w:hyperlink w:anchor="_Toc471478938" w:history="1">
        <w:r w:rsidR="00312CB2" w:rsidRPr="00D5047D">
          <w:rPr>
            <w:rStyle w:val="Hyperlink"/>
            <w:rFonts w:ascii="Arial" w:hAnsi="Arial"/>
            <w:color w:val="auto"/>
          </w:rPr>
          <w:t>1.4</w:t>
        </w:r>
        <w:r w:rsidR="00312CB2" w:rsidRPr="00D5047D">
          <w:rPr>
            <w:rFonts w:ascii="Arial" w:eastAsiaTheme="minorEastAsia" w:hAnsi="Arial"/>
            <w:smallCaps w:val="0"/>
            <w:sz w:val="22"/>
            <w:lang w:eastAsia="en-GB"/>
          </w:rPr>
          <w:tab/>
        </w:r>
        <w:r w:rsidR="00312CB2" w:rsidRPr="00D5047D">
          <w:rPr>
            <w:rStyle w:val="Hyperlink"/>
            <w:rFonts w:ascii="Arial" w:hAnsi="Arial"/>
            <w:color w:val="auto"/>
          </w:rPr>
          <w:t>Procedure for assessment</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_Toc471478938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3</w:t>
        </w:r>
        <w:r w:rsidR="00312CB2" w:rsidRPr="00D5047D">
          <w:rPr>
            <w:rFonts w:ascii="Arial" w:hAnsi="Arial"/>
            <w:webHidden/>
          </w:rPr>
          <w:fldChar w:fldCharType="end"/>
        </w:r>
      </w:hyperlink>
    </w:p>
    <w:p w14:paraId="49D66853" w14:textId="39D65476" w:rsidR="00312CB2" w:rsidRPr="00D5047D" w:rsidRDefault="008818A6">
      <w:pPr>
        <w:pStyle w:val="TOC2"/>
        <w:tabs>
          <w:tab w:val="left" w:pos="880"/>
          <w:tab w:val="right" w:leader="dot" w:pos="9060"/>
        </w:tabs>
        <w:rPr>
          <w:rFonts w:ascii="Arial" w:eastAsiaTheme="minorEastAsia" w:hAnsi="Arial"/>
          <w:smallCaps w:val="0"/>
          <w:sz w:val="22"/>
          <w:lang w:eastAsia="en-GB"/>
        </w:rPr>
      </w:pPr>
      <w:hyperlink w:anchor="_Toc471478939" w:history="1">
        <w:r w:rsidR="00312CB2" w:rsidRPr="00D5047D">
          <w:rPr>
            <w:rStyle w:val="Hyperlink"/>
            <w:rFonts w:ascii="Arial" w:hAnsi="Arial"/>
            <w:color w:val="auto"/>
          </w:rPr>
          <w:t>1.5</w:t>
        </w:r>
        <w:r w:rsidR="00312CB2" w:rsidRPr="00D5047D">
          <w:rPr>
            <w:rFonts w:ascii="Arial" w:eastAsiaTheme="minorEastAsia" w:hAnsi="Arial"/>
            <w:smallCaps w:val="0"/>
            <w:sz w:val="22"/>
            <w:lang w:eastAsia="en-GB"/>
          </w:rPr>
          <w:tab/>
        </w:r>
        <w:r w:rsidR="00312CB2" w:rsidRPr="00D5047D">
          <w:rPr>
            <w:rStyle w:val="Hyperlink"/>
            <w:rFonts w:ascii="Arial" w:hAnsi="Arial"/>
            <w:color w:val="auto"/>
          </w:rPr>
          <w:t>Decision</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_Toc471478939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3</w:t>
        </w:r>
        <w:r w:rsidR="00312CB2" w:rsidRPr="00D5047D">
          <w:rPr>
            <w:rFonts w:ascii="Arial" w:hAnsi="Arial"/>
            <w:webHidden/>
          </w:rPr>
          <w:fldChar w:fldCharType="end"/>
        </w:r>
      </w:hyperlink>
    </w:p>
    <w:p w14:paraId="416D0388" w14:textId="6E72F94C" w:rsidR="00312CB2" w:rsidRPr="00D5047D" w:rsidRDefault="008818A6">
      <w:pPr>
        <w:pStyle w:val="TOC1"/>
        <w:tabs>
          <w:tab w:val="left" w:pos="440"/>
          <w:tab w:val="right" w:leader="dot" w:pos="9060"/>
        </w:tabs>
        <w:rPr>
          <w:rFonts w:ascii="Arial" w:eastAsiaTheme="minorEastAsia" w:hAnsi="Arial"/>
          <w:b w:val="0"/>
          <w:caps w:val="0"/>
          <w:sz w:val="22"/>
          <w:lang w:eastAsia="en-GB"/>
        </w:rPr>
      </w:pPr>
      <w:hyperlink w:anchor="_Toc471478940" w:history="1">
        <w:r w:rsidR="00312CB2" w:rsidRPr="00D5047D">
          <w:rPr>
            <w:rStyle w:val="Hyperlink"/>
            <w:rFonts w:ascii="Arial" w:hAnsi="Arial"/>
            <w:color w:val="auto"/>
          </w:rPr>
          <w:t>2</w:t>
        </w:r>
        <w:r w:rsidR="00312CB2" w:rsidRPr="00D5047D">
          <w:rPr>
            <w:rFonts w:ascii="Arial" w:eastAsiaTheme="minorEastAsia" w:hAnsi="Arial"/>
            <w:b w:val="0"/>
            <w:caps w:val="0"/>
            <w:sz w:val="22"/>
            <w:lang w:eastAsia="en-GB"/>
          </w:rPr>
          <w:tab/>
        </w:r>
        <w:r w:rsidR="00312CB2" w:rsidRPr="00D5047D">
          <w:rPr>
            <w:rStyle w:val="Hyperlink"/>
            <w:rFonts w:ascii="Arial" w:hAnsi="Arial"/>
            <w:color w:val="auto"/>
          </w:rPr>
          <w:t xml:space="preserve">Summary </w:t>
        </w:r>
        <w:r w:rsidR="00312CB2" w:rsidRPr="00D5047D">
          <w:rPr>
            <w:rStyle w:val="Hyperlink"/>
            <w:rFonts w:ascii="Arial" w:hAnsi="Arial"/>
            <w:color w:val="auto"/>
            <w:u w:color="FFFF00"/>
          </w:rPr>
          <w:t>of</w:t>
        </w:r>
        <w:r w:rsidR="00312CB2" w:rsidRPr="00D5047D">
          <w:rPr>
            <w:rStyle w:val="Hyperlink"/>
            <w:rFonts w:ascii="Arial" w:hAnsi="Arial"/>
            <w:color w:val="auto"/>
          </w:rPr>
          <w:t xml:space="preserve"> the findings</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_Toc471478940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3</w:t>
        </w:r>
        <w:r w:rsidR="00312CB2" w:rsidRPr="00D5047D">
          <w:rPr>
            <w:rFonts w:ascii="Arial" w:hAnsi="Arial"/>
            <w:webHidden/>
          </w:rPr>
          <w:fldChar w:fldCharType="end"/>
        </w:r>
      </w:hyperlink>
    </w:p>
    <w:p w14:paraId="0E2D47E9" w14:textId="4BD2CEEC" w:rsidR="00312CB2" w:rsidRPr="00D5047D" w:rsidRDefault="008818A6">
      <w:pPr>
        <w:pStyle w:val="TOC2"/>
        <w:tabs>
          <w:tab w:val="left" w:pos="880"/>
          <w:tab w:val="right" w:leader="dot" w:pos="9060"/>
        </w:tabs>
        <w:rPr>
          <w:rFonts w:ascii="Arial" w:eastAsiaTheme="minorEastAsia" w:hAnsi="Arial"/>
          <w:smallCaps w:val="0"/>
          <w:sz w:val="22"/>
          <w:lang w:eastAsia="en-GB"/>
        </w:rPr>
      </w:pPr>
      <w:hyperlink w:anchor="_Toc471478941" w:history="1">
        <w:r w:rsidR="00312CB2" w:rsidRPr="00D5047D">
          <w:rPr>
            <w:rStyle w:val="Hyperlink"/>
            <w:rFonts w:ascii="Arial" w:hAnsi="Arial"/>
            <w:color w:val="auto"/>
          </w:rPr>
          <w:t>2.1</w:t>
        </w:r>
        <w:r w:rsidR="00312CB2" w:rsidRPr="00D5047D">
          <w:rPr>
            <w:rFonts w:ascii="Arial" w:eastAsiaTheme="minorEastAsia" w:hAnsi="Arial"/>
            <w:smallCaps w:val="0"/>
            <w:sz w:val="22"/>
            <w:lang w:eastAsia="en-GB"/>
          </w:rPr>
          <w:tab/>
        </w:r>
        <w:r w:rsidR="00312CB2" w:rsidRPr="00D5047D">
          <w:rPr>
            <w:rStyle w:val="Hyperlink"/>
            <w:rFonts w:ascii="Arial" w:hAnsi="Arial"/>
            <w:color w:val="auto"/>
          </w:rPr>
          <w:t>Summary of issues raised in submissions</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_Toc471478941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3</w:t>
        </w:r>
        <w:r w:rsidR="00312CB2" w:rsidRPr="00D5047D">
          <w:rPr>
            <w:rFonts w:ascii="Arial" w:hAnsi="Arial"/>
            <w:webHidden/>
          </w:rPr>
          <w:fldChar w:fldCharType="end"/>
        </w:r>
      </w:hyperlink>
    </w:p>
    <w:p w14:paraId="7A2C5E67" w14:textId="71590661" w:rsidR="00312CB2" w:rsidRPr="00D5047D" w:rsidRDefault="008818A6">
      <w:pPr>
        <w:pStyle w:val="TOC2"/>
        <w:tabs>
          <w:tab w:val="left" w:pos="880"/>
          <w:tab w:val="right" w:leader="dot" w:pos="9060"/>
        </w:tabs>
        <w:rPr>
          <w:rFonts w:ascii="Arial" w:eastAsiaTheme="minorEastAsia" w:hAnsi="Arial"/>
          <w:smallCaps w:val="0"/>
          <w:sz w:val="22"/>
          <w:lang w:eastAsia="en-GB"/>
        </w:rPr>
      </w:pPr>
      <w:hyperlink w:anchor="_Toc471478942" w:history="1">
        <w:r w:rsidR="00312CB2" w:rsidRPr="00D5047D">
          <w:rPr>
            <w:rStyle w:val="Hyperlink"/>
            <w:rFonts w:ascii="Arial" w:hAnsi="Arial"/>
            <w:color w:val="auto"/>
          </w:rPr>
          <w:t>2.2</w:t>
        </w:r>
        <w:r w:rsidR="00312CB2" w:rsidRPr="00D5047D">
          <w:rPr>
            <w:rFonts w:ascii="Arial" w:eastAsiaTheme="minorEastAsia" w:hAnsi="Arial"/>
            <w:smallCaps w:val="0"/>
            <w:sz w:val="22"/>
            <w:lang w:eastAsia="en-GB"/>
          </w:rPr>
          <w:tab/>
        </w:r>
        <w:r w:rsidR="00312CB2" w:rsidRPr="00D5047D">
          <w:rPr>
            <w:rStyle w:val="Hyperlink"/>
            <w:rFonts w:ascii="Arial" w:hAnsi="Arial"/>
            <w:color w:val="auto"/>
          </w:rPr>
          <w:t>Risk assessment</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_Toc471478942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6</w:t>
        </w:r>
        <w:r w:rsidR="00312CB2" w:rsidRPr="00D5047D">
          <w:rPr>
            <w:rFonts w:ascii="Arial" w:hAnsi="Arial"/>
            <w:webHidden/>
          </w:rPr>
          <w:fldChar w:fldCharType="end"/>
        </w:r>
      </w:hyperlink>
    </w:p>
    <w:p w14:paraId="132E8E6E" w14:textId="7F569E7C" w:rsidR="00312CB2" w:rsidRPr="00D5047D" w:rsidRDefault="008818A6">
      <w:pPr>
        <w:pStyle w:val="TOC2"/>
        <w:tabs>
          <w:tab w:val="left" w:pos="880"/>
          <w:tab w:val="right" w:leader="dot" w:pos="9060"/>
        </w:tabs>
        <w:rPr>
          <w:rFonts w:ascii="Arial" w:eastAsiaTheme="minorEastAsia" w:hAnsi="Arial"/>
          <w:smallCaps w:val="0"/>
          <w:sz w:val="22"/>
          <w:lang w:eastAsia="en-GB"/>
        </w:rPr>
      </w:pPr>
      <w:hyperlink w:anchor="_Toc471478943" w:history="1">
        <w:r w:rsidR="00312CB2" w:rsidRPr="00D5047D">
          <w:rPr>
            <w:rStyle w:val="Hyperlink"/>
            <w:rFonts w:ascii="Arial" w:hAnsi="Arial"/>
            <w:color w:val="auto"/>
          </w:rPr>
          <w:t>2.3</w:t>
        </w:r>
        <w:r w:rsidR="00312CB2" w:rsidRPr="00D5047D">
          <w:rPr>
            <w:rFonts w:ascii="Arial" w:eastAsiaTheme="minorEastAsia" w:hAnsi="Arial"/>
            <w:smallCaps w:val="0"/>
            <w:sz w:val="22"/>
            <w:lang w:eastAsia="en-GB"/>
          </w:rPr>
          <w:tab/>
        </w:r>
        <w:r w:rsidR="00312CB2" w:rsidRPr="00D5047D">
          <w:rPr>
            <w:rStyle w:val="Hyperlink"/>
            <w:rFonts w:ascii="Arial" w:hAnsi="Arial"/>
            <w:color w:val="auto"/>
          </w:rPr>
          <w:t>Risk management</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_Toc471478943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7</w:t>
        </w:r>
        <w:r w:rsidR="00312CB2" w:rsidRPr="00D5047D">
          <w:rPr>
            <w:rFonts w:ascii="Arial" w:hAnsi="Arial"/>
            <w:webHidden/>
          </w:rPr>
          <w:fldChar w:fldCharType="end"/>
        </w:r>
      </w:hyperlink>
    </w:p>
    <w:p w14:paraId="7C1AD2EC" w14:textId="390B06F0" w:rsidR="00312CB2" w:rsidRPr="00D5047D" w:rsidRDefault="008818A6">
      <w:pPr>
        <w:pStyle w:val="TOC3"/>
        <w:tabs>
          <w:tab w:val="left" w:pos="1100"/>
          <w:tab w:val="right" w:leader="dot" w:pos="9060"/>
        </w:tabs>
        <w:rPr>
          <w:rFonts w:ascii="Arial" w:eastAsiaTheme="minorEastAsia" w:hAnsi="Arial"/>
          <w:i w:val="0"/>
          <w:sz w:val="22"/>
          <w:lang w:eastAsia="en-GB"/>
        </w:rPr>
      </w:pPr>
      <w:hyperlink w:anchor="_Toc471478944" w:history="1">
        <w:r w:rsidR="00312CB2" w:rsidRPr="00D5047D">
          <w:rPr>
            <w:rStyle w:val="Hyperlink"/>
            <w:rFonts w:ascii="Arial" w:hAnsi="Arial"/>
            <w:color w:val="auto"/>
          </w:rPr>
          <w:t>2.4</w:t>
        </w:r>
        <w:r w:rsidR="00312CB2" w:rsidRPr="00D5047D">
          <w:rPr>
            <w:rFonts w:ascii="Arial" w:eastAsiaTheme="minorEastAsia" w:hAnsi="Arial"/>
            <w:i w:val="0"/>
            <w:sz w:val="22"/>
            <w:lang w:eastAsia="en-GB"/>
          </w:rPr>
          <w:tab/>
        </w:r>
        <w:r w:rsidR="00312CB2" w:rsidRPr="00D5047D">
          <w:rPr>
            <w:rStyle w:val="Hyperlink"/>
            <w:rFonts w:ascii="Arial" w:hAnsi="Arial"/>
            <w:color w:val="auto"/>
          </w:rPr>
          <w:t>Consultation</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_Toc471478944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7</w:t>
        </w:r>
        <w:r w:rsidR="00312CB2" w:rsidRPr="00D5047D">
          <w:rPr>
            <w:rFonts w:ascii="Arial" w:hAnsi="Arial"/>
            <w:webHidden/>
          </w:rPr>
          <w:fldChar w:fldCharType="end"/>
        </w:r>
      </w:hyperlink>
    </w:p>
    <w:p w14:paraId="2C1A9415" w14:textId="771603D2" w:rsidR="00312CB2" w:rsidRPr="00D5047D" w:rsidRDefault="008818A6">
      <w:pPr>
        <w:pStyle w:val="TOC2"/>
        <w:tabs>
          <w:tab w:val="left" w:pos="880"/>
          <w:tab w:val="right" w:leader="dot" w:pos="9060"/>
        </w:tabs>
        <w:rPr>
          <w:rFonts w:ascii="Arial" w:eastAsiaTheme="minorEastAsia" w:hAnsi="Arial"/>
          <w:smallCaps w:val="0"/>
          <w:sz w:val="22"/>
          <w:lang w:eastAsia="en-GB"/>
        </w:rPr>
      </w:pPr>
      <w:hyperlink w:anchor="_Toc471478945" w:history="1">
        <w:r w:rsidR="00312CB2" w:rsidRPr="00D5047D">
          <w:rPr>
            <w:rStyle w:val="Hyperlink"/>
            <w:rFonts w:ascii="Arial" w:hAnsi="Arial"/>
            <w:color w:val="auto"/>
          </w:rPr>
          <w:t>2.5</w:t>
        </w:r>
        <w:r w:rsidR="00312CB2" w:rsidRPr="00D5047D">
          <w:rPr>
            <w:rFonts w:ascii="Arial" w:eastAsiaTheme="minorEastAsia" w:hAnsi="Arial"/>
            <w:smallCaps w:val="0"/>
            <w:sz w:val="22"/>
            <w:lang w:eastAsia="en-GB"/>
          </w:rPr>
          <w:tab/>
        </w:r>
        <w:r w:rsidR="00312CB2" w:rsidRPr="00D5047D">
          <w:rPr>
            <w:rStyle w:val="Hyperlink"/>
            <w:rFonts w:ascii="Arial" w:hAnsi="Arial"/>
            <w:color w:val="auto"/>
          </w:rPr>
          <w:t>FSANZ Act assessment requirements</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_Toc471478945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7</w:t>
        </w:r>
        <w:r w:rsidR="00312CB2" w:rsidRPr="00D5047D">
          <w:rPr>
            <w:rFonts w:ascii="Arial" w:hAnsi="Arial"/>
            <w:webHidden/>
          </w:rPr>
          <w:fldChar w:fldCharType="end"/>
        </w:r>
      </w:hyperlink>
    </w:p>
    <w:p w14:paraId="12AFB622" w14:textId="229D78F1" w:rsidR="00312CB2" w:rsidRPr="00D5047D" w:rsidRDefault="008818A6">
      <w:pPr>
        <w:pStyle w:val="TOC3"/>
        <w:tabs>
          <w:tab w:val="left" w:pos="1100"/>
          <w:tab w:val="right" w:leader="dot" w:pos="9060"/>
        </w:tabs>
        <w:rPr>
          <w:rFonts w:ascii="Arial" w:eastAsiaTheme="minorEastAsia" w:hAnsi="Arial"/>
          <w:i w:val="0"/>
          <w:sz w:val="22"/>
          <w:lang w:eastAsia="en-GB"/>
        </w:rPr>
      </w:pPr>
      <w:hyperlink w:anchor="_Toc471478946" w:history="1">
        <w:r w:rsidR="00312CB2" w:rsidRPr="00D5047D">
          <w:rPr>
            <w:rStyle w:val="Hyperlink"/>
            <w:rFonts w:ascii="Arial" w:hAnsi="Arial"/>
            <w:color w:val="auto"/>
          </w:rPr>
          <w:t>2.5.1</w:t>
        </w:r>
        <w:r w:rsidR="00312CB2" w:rsidRPr="00D5047D">
          <w:rPr>
            <w:rFonts w:ascii="Arial" w:eastAsiaTheme="minorEastAsia" w:hAnsi="Arial"/>
            <w:i w:val="0"/>
            <w:sz w:val="22"/>
            <w:lang w:eastAsia="en-GB"/>
          </w:rPr>
          <w:tab/>
        </w:r>
        <w:r w:rsidR="00312CB2" w:rsidRPr="00D5047D">
          <w:rPr>
            <w:rStyle w:val="Hyperlink"/>
            <w:rFonts w:ascii="Arial" w:hAnsi="Arial"/>
            <w:color w:val="auto"/>
          </w:rPr>
          <w:t>Section 59</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_Toc471478946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7</w:t>
        </w:r>
        <w:r w:rsidR="00312CB2" w:rsidRPr="00D5047D">
          <w:rPr>
            <w:rFonts w:ascii="Arial" w:hAnsi="Arial"/>
            <w:webHidden/>
          </w:rPr>
          <w:fldChar w:fldCharType="end"/>
        </w:r>
      </w:hyperlink>
    </w:p>
    <w:p w14:paraId="79EAFB48" w14:textId="0E356D87" w:rsidR="00312CB2" w:rsidRPr="00D5047D" w:rsidRDefault="008818A6">
      <w:pPr>
        <w:pStyle w:val="TOC3"/>
        <w:tabs>
          <w:tab w:val="left" w:pos="1320"/>
          <w:tab w:val="right" w:leader="dot" w:pos="9060"/>
        </w:tabs>
        <w:rPr>
          <w:rFonts w:ascii="Arial" w:eastAsiaTheme="minorEastAsia" w:hAnsi="Arial"/>
          <w:i w:val="0"/>
          <w:sz w:val="22"/>
          <w:lang w:eastAsia="en-GB"/>
        </w:rPr>
      </w:pPr>
      <w:hyperlink w:anchor="_Toc471478947" w:history="1">
        <w:r w:rsidR="00312CB2" w:rsidRPr="00D5047D">
          <w:rPr>
            <w:rStyle w:val="Hyperlink"/>
            <w:rFonts w:ascii="Arial" w:hAnsi="Arial"/>
            <w:color w:val="auto"/>
          </w:rPr>
          <w:t>2.5.2.</w:t>
        </w:r>
        <w:r w:rsidR="00312CB2" w:rsidRPr="00D5047D">
          <w:rPr>
            <w:rFonts w:ascii="Arial" w:eastAsiaTheme="minorEastAsia" w:hAnsi="Arial"/>
            <w:i w:val="0"/>
            <w:sz w:val="22"/>
            <w:lang w:eastAsia="en-GB"/>
          </w:rPr>
          <w:tab/>
        </w:r>
        <w:r w:rsidR="00312CB2" w:rsidRPr="00D5047D">
          <w:rPr>
            <w:rStyle w:val="Hyperlink"/>
            <w:rFonts w:ascii="Arial" w:hAnsi="Arial"/>
            <w:color w:val="auto"/>
          </w:rPr>
          <w:t>Subsection 18(1)</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_Toc471478947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8</w:t>
        </w:r>
        <w:r w:rsidR="00312CB2" w:rsidRPr="00D5047D">
          <w:rPr>
            <w:rFonts w:ascii="Arial" w:hAnsi="Arial"/>
            <w:webHidden/>
          </w:rPr>
          <w:fldChar w:fldCharType="end"/>
        </w:r>
      </w:hyperlink>
    </w:p>
    <w:p w14:paraId="46B6FD8E" w14:textId="32B77B75" w:rsidR="00312CB2" w:rsidRPr="00D5047D" w:rsidRDefault="008818A6">
      <w:pPr>
        <w:pStyle w:val="TOC2"/>
        <w:tabs>
          <w:tab w:val="right" w:leader="dot" w:pos="9060"/>
        </w:tabs>
        <w:rPr>
          <w:rFonts w:ascii="Arial" w:eastAsiaTheme="minorEastAsia" w:hAnsi="Arial"/>
          <w:smallCaps w:val="0"/>
          <w:sz w:val="22"/>
          <w:lang w:eastAsia="en-GB"/>
        </w:rPr>
      </w:pPr>
      <w:hyperlink w:anchor="_Toc471478948" w:history="1">
        <w:r w:rsidR="00312CB2" w:rsidRPr="00D5047D">
          <w:rPr>
            <w:rStyle w:val="Hyperlink"/>
            <w:rFonts w:ascii="Arial" w:hAnsi="Arial"/>
            <w:color w:val="auto"/>
          </w:rPr>
          <w:t xml:space="preserve">Attachment A – Approved draft variation to the </w:t>
        </w:r>
        <w:r w:rsidR="00312CB2" w:rsidRPr="00D5047D">
          <w:rPr>
            <w:rStyle w:val="Hyperlink"/>
            <w:rFonts w:ascii="Arial" w:hAnsi="Arial"/>
            <w:i/>
            <w:color w:val="auto"/>
          </w:rPr>
          <w:t>Australia New Zealand Food Standards Code</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_Toc471478948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10</w:t>
        </w:r>
        <w:r w:rsidR="00312CB2" w:rsidRPr="00D5047D">
          <w:rPr>
            <w:rFonts w:ascii="Arial" w:hAnsi="Arial"/>
            <w:webHidden/>
          </w:rPr>
          <w:fldChar w:fldCharType="end"/>
        </w:r>
      </w:hyperlink>
    </w:p>
    <w:p w14:paraId="752A08EC" w14:textId="4407FFCF" w:rsidR="00312CB2" w:rsidRPr="00D5047D" w:rsidRDefault="008818A6">
      <w:pPr>
        <w:pStyle w:val="TOC2"/>
        <w:tabs>
          <w:tab w:val="right" w:leader="dot" w:pos="9060"/>
        </w:tabs>
        <w:rPr>
          <w:rFonts w:ascii="Arial" w:eastAsiaTheme="minorEastAsia" w:hAnsi="Arial"/>
          <w:smallCaps w:val="0"/>
          <w:sz w:val="22"/>
          <w:lang w:eastAsia="en-GB"/>
        </w:rPr>
      </w:pPr>
      <w:hyperlink w:anchor="_Toc471478949" w:history="1">
        <w:r w:rsidR="00312CB2" w:rsidRPr="00D5047D">
          <w:rPr>
            <w:rStyle w:val="Hyperlink"/>
            <w:rFonts w:ascii="Arial" w:hAnsi="Arial"/>
            <w:color w:val="auto"/>
          </w:rPr>
          <w:t>Attachment B – Explanatory Statement</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_Toc471478949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b/>
            <w:bCs/>
            <w:noProof/>
            <w:webHidden/>
            <w:lang w:val="en-US"/>
          </w:rPr>
          <w:t>Error! Bookmark not defined.</w:t>
        </w:r>
        <w:r w:rsidR="00312CB2" w:rsidRPr="00D5047D">
          <w:rPr>
            <w:rFonts w:ascii="Arial" w:hAnsi="Arial"/>
            <w:webHidden/>
          </w:rPr>
          <w:fldChar w:fldCharType="end"/>
        </w:r>
      </w:hyperlink>
    </w:p>
    <w:p w14:paraId="68A54BDB" w14:textId="01ED8CE8" w:rsidR="00312CB2" w:rsidRPr="00D5047D" w:rsidRDefault="008818A6">
      <w:pPr>
        <w:pStyle w:val="TOC2"/>
        <w:tabs>
          <w:tab w:val="right" w:leader="dot" w:pos="9060"/>
        </w:tabs>
        <w:rPr>
          <w:rFonts w:ascii="Arial" w:eastAsiaTheme="minorEastAsia" w:hAnsi="Arial"/>
          <w:smallCaps w:val="0"/>
          <w:sz w:val="22"/>
          <w:lang w:eastAsia="en-GB"/>
        </w:rPr>
      </w:pPr>
      <w:hyperlink w:anchor="_Toc471478950" w:history="1">
        <w:r w:rsidR="00312CB2" w:rsidRPr="00D5047D">
          <w:rPr>
            <w:rStyle w:val="Hyperlink"/>
            <w:rFonts w:ascii="Arial" w:hAnsi="Arial"/>
            <w:color w:val="auto"/>
          </w:rPr>
          <w:t xml:space="preserve">Attachment C – Draft variations to the </w:t>
        </w:r>
        <w:r w:rsidR="00312CB2" w:rsidRPr="00D5047D">
          <w:rPr>
            <w:rStyle w:val="Hyperlink"/>
            <w:rFonts w:ascii="Arial" w:hAnsi="Arial"/>
            <w:i/>
            <w:color w:val="auto"/>
          </w:rPr>
          <w:t xml:space="preserve">Australia New Zealand Food Standards Code </w:t>
        </w:r>
        <w:r w:rsidR="00312CB2" w:rsidRPr="00D5047D">
          <w:rPr>
            <w:rStyle w:val="Hyperlink"/>
            <w:rFonts w:ascii="Arial" w:hAnsi="Arial"/>
            <w:color w:val="auto"/>
          </w:rPr>
          <w:t>(call for submissions)</w:t>
        </w:r>
        <w:r w:rsidR="00312CB2" w:rsidRPr="00D5047D">
          <w:rPr>
            <w:rFonts w:ascii="Arial" w:hAnsi="Arial"/>
            <w:webHidden/>
          </w:rPr>
          <w:tab/>
        </w:r>
        <w:r w:rsidR="00312CB2" w:rsidRPr="00D5047D">
          <w:rPr>
            <w:rFonts w:ascii="Arial" w:hAnsi="Arial"/>
            <w:webHidden/>
          </w:rPr>
          <w:fldChar w:fldCharType="begin"/>
        </w:r>
        <w:r w:rsidR="00312CB2" w:rsidRPr="00D5047D">
          <w:rPr>
            <w:rFonts w:ascii="Arial" w:hAnsi="Arial"/>
            <w:webHidden/>
          </w:rPr>
          <w:instrText xml:space="preserve"> PAGEREF _Toc471478950 \h </w:instrText>
        </w:r>
        <w:r w:rsidR="00312CB2" w:rsidRPr="00D5047D">
          <w:rPr>
            <w:rFonts w:ascii="Arial" w:hAnsi="Arial"/>
            <w:webHidden/>
          </w:rPr>
        </w:r>
        <w:r w:rsidR="00312CB2" w:rsidRPr="00D5047D">
          <w:rPr>
            <w:rFonts w:ascii="Arial" w:hAnsi="Arial"/>
            <w:webHidden/>
          </w:rPr>
          <w:fldChar w:fldCharType="separate"/>
        </w:r>
        <w:r w:rsidR="008B72A8">
          <w:rPr>
            <w:rFonts w:ascii="Arial" w:hAnsi="Arial"/>
            <w:noProof/>
            <w:webHidden/>
          </w:rPr>
          <w:t>16</w:t>
        </w:r>
        <w:r w:rsidR="00312CB2" w:rsidRPr="00D5047D">
          <w:rPr>
            <w:rFonts w:ascii="Arial" w:hAnsi="Arial"/>
            <w:webHidden/>
          </w:rPr>
          <w:fldChar w:fldCharType="end"/>
        </w:r>
      </w:hyperlink>
    </w:p>
    <w:p w14:paraId="314F98D1" w14:textId="602B1A96" w:rsidR="0012388D" w:rsidRDefault="00B55714" w:rsidP="00C91C02">
      <w:pPr>
        <w:rPr>
          <w:rFonts w:cs="Arial"/>
          <w:sz w:val="20"/>
          <w:szCs w:val="20"/>
        </w:rPr>
      </w:pPr>
      <w:r w:rsidRPr="00663713">
        <w:rPr>
          <w:rFonts w:cs="Arial"/>
          <w:sz w:val="20"/>
          <w:szCs w:val="20"/>
        </w:rPr>
        <w:fldChar w:fldCharType="end"/>
      </w:r>
    </w:p>
    <w:p w14:paraId="70A7E0A1" w14:textId="26C02017" w:rsidR="00340EE9" w:rsidRDefault="00340EE9" w:rsidP="00C91C02"/>
    <w:p w14:paraId="62FA1253" w14:textId="77777777" w:rsidR="00340EE9" w:rsidRPr="000B427A" w:rsidRDefault="00340EE9" w:rsidP="00340EE9">
      <w:pPr>
        <w:rPr>
          <w:b/>
          <w:bCs/>
        </w:rPr>
      </w:pPr>
      <w:r w:rsidRPr="000B427A">
        <w:rPr>
          <w:b/>
          <w:bCs/>
        </w:rPr>
        <w:t xml:space="preserve">Supporting document </w:t>
      </w:r>
    </w:p>
    <w:p w14:paraId="176D2F28" w14:textId="7B827EBD" w:rsidR="00340EE9" w:rsidRPr="0089264A" w:rsidRDefault="00340EE9" w:rsidP="00340EE9">
      <w:pPr>
        <w:rPr>
          <w:szCs w:val="22"/>
        </w:rPr>
      </w:pPr>
    </w:p>
    <w:p w14:paraId="339BC742" w14:textId="2D71066C" w:rsidR="00340EE9" w:rsidRPr="00653D9D" w:rsidRDefault="00340EE9" w:rsidP="00340EE9">
      <w:pPr>
        <w:ind w:left="1134" w:hanging="1134"/>
      </w:pPr>
      <w:r w:rsidRPr="002360E5">
        <w:t>SD1</w:t>
      </w:r>
      <w:r w:rsidRPr="002360E5">
        <w:tab/>
        <w:t>List of proposed amendments</w:t>
      </w:r>
      <w:r>
        <w:t xml:space="preserve"> (at Approval)</w:t>
      </w:r>
    </w:p>
    <w:p w14:paraId="314F98D2" w14:textId="77777777" w:rsidR="007F7BF7" w:rsidRPr="00653D9D" w:rsidRDefault="007F7BF7" w:rsidP="00CA5734"/>
    <w:p w14:paraId="314F98D8" w14:textId="77777777" w:rsidR="003C4969" w:rsidRPr="00653D9D" w:rsidRDefault="00D15A08" w:rsidP="009A2699">
      <w:pPr>
        <w:spacing w:line="280" w:lineRule="exact"/>
        <w:ind w:left="851" w:hanging="851"/>
        <w:outlineLvl w:val="3"/>
        <w:rPr>
          <w:vanish/>
        </w:rPr>
      </w:pPr>
      <w:r w:rsidRPr="00653D9D">
        <w:br w:type="page"/>
      </w:r>
    </w:p>
    <w:p w14:paraId="314F98D9" w14:textId="77777777" w:rsidR="002A6CA4" w:rsidRPr="00653D9D" w:rsidRDefault="007A53BF" w:rsidP="002A6CA4">
      <w:pPr>
        <w:pStyle w:val="Heading1"/>
      </w:pPr>
      <w:bookmarkStart w:id="1" w:name="_Toc286391001"/>
      <w:bookmarkStart w:id="2" w:name="_Toc300933414"/>
      <w:bookmarkStart w:id="3" w:name="_Toc370223463"/>
      <w:bookmarkStart w:id="4" w:name="_Toc471478796"/>
      <w:bookmarkStart w:id="5" w:name="_Toc471478933"/>
      <w:bookmarkStart w:id="6" w:name="_Toc11735627"/>
      <w:bookmarkStart w:id="7" w:name="_Toc29883110"/>
      <w:bookmarkStart w:id="8" w:name="_Toc41906797"/>
      <w:bookmarkStart w:id="9" w:name="_Toc41907544"/>
      <w:bookmarkStart w:id="10" w:name="_Toc120358575"/>
      <w:r w:rsidRPr="00653D9D">
        <w:t>Executive summary</w:t>
      </w:r>
      <w:bookmarkEnd w:id="1"/>
      <w:bookmarkEnd w:id="2"/>
      <w:bookmarkEnd w:id="3"/>
      <w:bookmarkEnd w:id="4"/>
      <w:bookmarkEnd w:id="5"/>
    </w:p>
    <w:p w14:paraId="279BE26E" w14:textId="5196903F" w:rsidR="0028218D" w:rsidRPr="00653D9D" w:rsidRDefault="0028218D" w:rsidP="0028218D">
      <w:r w:rsidRPr="00653D9D">
        <w:rPr>
          <w:lang w:bidi="ar-SA"/>
        </w:rPr>
        <w:t xml:space="preserve">FSANZ has approved </w:t>
      </w:r>
      <w:r w:rsidR="00F2160C">
        <w:rPr>
          <w:lang w:bidi="ar-SA"/>
        </w:rPr>
        <w:t>a draft</w:t>
      </w:r>
      <w:r w:rsidRPr="00653D9D">
        <w:rPr>
          <w:lang w:bidi="ar-SA"/>
        </w:rPr>
        <w:t xml:space="preserve"> </w:t>
      </w:r>
      <w:r w:rsidR="00F2160C">
        <w:rPr>
          <w:lang w:bidi="ar-SA"/>
        </w:rPr>
        <w:t>variation</w:t>
      </w:r>
      <w:r w:rsidR="00F2160C" w:rsidRPr="00653D9D">
        <w:rPr>
          <w:lang w:bidi="ar-SA"/>
        </w:rPr>
        <w:t xml:space="preserve"> </w:t>
      </w:r>
      <w:r w:rsidRPr="00653D9D">
        <w:rPr>
          <w:lang w:bidi="ar-SA"/>
        </w:rPr>
        <w:t xml:space="preserve">to the </w:t>
      </w:r>
      <w:r w:rsidRPr="00653D9D">
        <w:rPr>
          <w:i/>
          <w:lang w:bidi="ar-SA"/>
        </w:rPr>
        <w:t>Australia New Zealand Food Standards Code</w:t>
      </w:r>
      <w:r w:rsidRPr="00653D9D">
        <w:rPr>
          <w:lang w:bidi="ar-SA"/>
        </w:rPr>
        <w:t xml:space="preserve"> (the Code) </w:t>
      </w:r>
      <w:r w:rsidR="008B72A8">
        <w:rPr>
          <w:lang w:bidi="ar-SA"/>
        </w:rPr>
        <w:t>to correct</w:t>
      </w:r>
      <w:r w:rsidRPr="00653D9D">
        <w:rPr>
          <w:lang w:bidi="ar-SA"/>
        </w:rPr>
        <w:t xml:space="preserve"> typographical errors,</w:t>
      </w:r>
      <w:r>
        <w:rPr>
          <w:lang w:bidi="ar-SA"/>
        </w:rPr>
        <w:t xml:space="preserve"> make</w:t>
      </w:r>
      <w:r w:rsidRPr="00653D9D">
        <w:rPr>
          <w:lang w:bidi="ar-SA"/>
        </w:rPr>
        <w:t xml:space="preserve"> formatting </w:t>
      </w:r>
      <w:r>
        <w:rPr>
          <w:lang w:bidi="ar-SA"/>
        </w:rPr>
        <w:t>changes</w:t>
      </w:r>
      <w:r w:rsidR="00280BAA">
        <w:rPr>
          <w:lang w:bidi="ar-SA"/>
        </w:rPr>
        <w:t xml:space="preserve"> </w:t>
      </w:r>
      <w:r>
        <w:rPr>
          <w:lang w:bidi="ar-SA"/>
        </w:rPr>
        <w:t>and update</w:t>
      </w:r>
      <w:r w:rsidRPr="00653D9D">
        <w:rPr>
          <w:lang w:bidi="ar-SA"/>
        </w:rPr>
        <w:t xml:space="preserve"> references.</w:t>
      </w:r>
    </w:p>
    <w:p w14:paraId="224A690F" w14:textId="77777777" w:rsidR="0028218D" w:rsidRPr="00653D9D" w:rsidRDefault="0028218D" w:rsidP="0028218D">
      <w:pPr>
        <w:tabs>
          <w:tab w:val="left" w:pos="5850"/>
        </w:tabs>
      </w:pPr>
      <w:r w:rsidRPr="00653D9D">
        <w:tab/>
      </w:r>
    </w:p>
    <w:p w14:paraId="314F98DC" w14:textId="1828B1E2" w:rsidR="00207244" w:rsidRPr="00653D9D" w:rsidRDefault="00207244" w:rsidP="00AC54C9">
      <w:r w:rsidRPr="00653D9D">
        <w:t>The amendments</w:t>
      </w:r>
      <w:r w:rsidR="005B089F">
        <w:t xml:space="preserve"> in the </w:t>
      </w:r>
      <w:r w:rsidR="00F2160C" w:rsidRPr="00653D9D">
        <w:t xml:space="preserve">approved </w:t>
      </w:r>
      <w:r w:rsidR="005B089F">
        <w:t xml:space="preserve">draft variation are all relatively </w:t>
      </w:r>
      <w:r w:rsidRPr="00653D9D">
        <w:t>minor</w:t>
      </w:r>
      <w:r w:rsidR="005B089F">
        <w:t xml:space="preserve"> in nature</w:t>
      </w:r>
      <w:r w:rsidRPr="00653D9D">
        <w:t xml:space="preserve">. No potential public health and safety concerns have been identified. </w:t>
      </w:r>
    </w:p>
    <w:p w14:paraId="0E4463B5" w14:textId="77777777" w:rsidR="00573C2A" w:rsidRDefault="00573C2A" w:rsidP="00573C2A"/>
    <w:p w14:paraId="746DCEE8" w14:textId="353D5DCD" w:rsidR="00573C2A" w:rsidRPr="00F62AF3" w:rsidRDefault="00573C2A" w:rsidP="00573C2A">
      <w:r w:rsidRPr="00F62AF3">
        <w:t>Each amendment is explained in SD1.</w:t>
      </w:r>
    </w:p>
    <w:p w14:paraId="314F98DD" w14:textId="77777777" w:rsidR="00207244" w:rsidRPr="00653D9D" w:rsidRDefault="00207244" w:rsidP="00207244"/>
    <w:p w14:paraId="314F98DF" w14:textId="77777777" w:rsidR="00C836FF" w:rsidRPr="00653D9D" w:rsidRDefault="00C836FF" w:rsidP="002421C1">
      <w:pPr>
        <w:pStyle w:val="Heading1"/>
      </w:pPr>
      <w:r w:rsidRPr="00653D9D">
        <w:br w:type="page"/>
      </w:r>
    </w:p>
    <w:p w14:paraId="314F98E0" w14:textId="77777777" w:rsidR="007A53BF" w:rsidRPr="00653D9D" w:rsidRDefault="007A53BF" w:rsidP="00CE59AA">
      <w:pPr>
        <w:pStyle w:val="Heading1"/>
      </w:pPr>
      <w:bookmarkStart w:id="11" w:name="_Toc300933417"/>
      <w:bookmarkStart w:id="12" w:name="_Toc370223464"/>
      <w:bookmarkStart w:id="13" w:name="_Toc471478797"/>
      <w:bookmarkStart w:id="14" w:name="_Toc471478934"/>
      <w:r w:rsidRPr="00653D9D">
        <w:lastRenderedPageBreak/>
        <w:t>1</w:t>
      </w:r>
      <w:r w:rsidRPr="00653D9D">
        <w:tab/>
        <w:t>Introduction</w:t>
      </w:r>
      <w:bookmarkEnd w:id="11"/>
      <w:bookmarkEnd w:id="12"/>
      <w:bookmarkEnd w:id="13"/>
      <w:bookmarkEnd w:id="14"/>
    </w:p>
    <w:p w14:paraId="314F98E1" w14:textId="77777777" w:rsidR="007A53BF" w:rsidRPr="00653D9D" w:rsidRDefault="007A53BF" w:rsidP="00CE59AA">
      <w:pPr>
        <w:pStyle w:val="Heading2"/>
      </w:pPr>
      <w:bookmarkStart w:id="15" w:name="_Toc300761891"/>
      <w:bookmarkStart w:id="16" w:name="_Toc300933420"/>
      <w:bookmarkStart w:id="17" w:name="_Toc370223466"/>
      <w:bookmarkStart w:id="18" w:name="_Toc471478798"/>
      <w:bookmarkStart w:id="19" w:name="_Toc471478935"/>
      <w:r w:rsidRPr="00653D9D">
        <w:t>1.</w:t>
      </w:r>
      <w:r w:rsidR="00EF0D09" w:rsidRPr="00653D9D">
        <w:t>1</w:t>
      </w:r>
      <w:r w:rsidRPr="00653D9D">
        <w:tab/>
        <w:t xml:space="preserve">The </w:t>
      </w:r>
      <w:bookmarkEnd w:id="15"/>
      <w:r w:rsidRPr="00653D9D">
        <w:t>Proposal</w:t>
      </w:r>
      <w:bookmarkEnd w:id="16"/>
      <w:bookmarkEnd w:id="17"/>
      <w:bookmarkEnd w:id="18"/>
      <w:bookmarkEnd w:id="19"/>
    </w:p>
    <w:p w14:paraId="314F98E2" w14:textId="55EE7396" w:rsidR="007A53BF" w:rsidRPr="00653D9D" w:rsidRDefault="00207244" w:rsidP="007A53BF">
      <w:r w:rsidRPr="00653D9D">
        <w:rPr>
          <w:lang w:bidi="ar-SA"/>
        </w:rPr>
        <w:t xml:space="preserve">Proposal </w:t>
      </w:r>
      <w:r w:rsidR="009A40E5">
        <w:rPr>
          <w:lang w:bidi="ar-SA"/>
        </w:rPr>
        <w:t>P</w:t>
      </w:r>
      <w:r w:rsidR="009A40E5" w:rsidRPr="007D4D5F">
        <w:rPr>
          <w:lang w:bidi="ar-SA"/>
        </w:rPr>
        <w:t>10</w:t>
      </w:r>
      <w:r w:rsidR="007D4D5F" w:rsidRPr="007D4D5F">
        <w:rPr>
          <w:lang w:bidi="ar-SA"/>
        </w:rPr>
        <w:t>48</w:t>
      </w:r>
      <w:r w:rsidR="006220A4" w:rsidRPr="007D4D5F">
        <w:rPr>
          <w:lang w:bidi="ar-SA"/>
        </w:rPr>
        <w:t xml:space="preserve"> </w:t>
      </w:r>
      <w:r w:rsidRPr="00653D9D">
        <w:rPr>
          <w:lang w:bidi="ar-SA"/>
        </w:rPr>
        <w:t>was prepared to make a range of</w:t>
      </w:r>
      <w:r w:rsidR="00A615A6">
        <w:rPr>
          <w:lang w:bidi="ar-SA"/>
        </w:rPr>
        <w:t xml:space="preserve"> </w:t>
      </w:r>
      <w:r w:rsidRPr="00653D9D">
        <w:rPr>
          <w:lang w:bidi="ar-SA"/>
        </w:rPr>
        <w:t>minor amendments to the Code including the correction of typographical errors, formatting is</w:t>
      </w:r>
      <w:r w:rsidR="00D3215B">
        <w:rPr>
          <w:lang w:bidi="ar-SA"/>
        </w:rPr>
        <w:t>sues</w:t>
      </w:r>
      <w:r w:rsidR="00A615A6">
        <w:rPr>
          <w:lang w:bidi="ar-SA"/>
        </w:rPr>
        <w:t xml:space="preserve">, </w:t>
      </w:r>
      <w:r w:rsidR="00A615A6" w:rsidRPr="00653D9D">
        <w:rPr>
          <w:lang w:bidi="ar-SA"/>
        </w:rPr>
        <w:t>and updating of refere</w:t>
      </w:r>
      <w:r w:rsidR="00A615A6">
        <w:rPr>
          <w:lang w:bidi="ar-SA"/>
        </w:rPr>
        <w:t>nces</w:t>
      </w:r>
      <w:r w:rsidRPr="00653D9D">
        <w:rPr>
          <w:lang w:bidi="ar-SA"/>
        </w:rPr>
        <w:t>.</w:t>
      </w:r>
    </w:p>
    <w:p w14:paraId="314F98E3" w14:textId="7CC33163" w:rsidR="007A53BF" w:rsidRPr="00653D9D" w:rsidRDefault="007A53BF" w:rsidP="00CE59AA">
      <w:pPr>
        <w:pStyle w:val="Heading2"/>
      </w:pPr>
      <w:bookmarkStart w:id="20" w:name="_Toc300761892"/>
      <w:bookmarkStart w:id="21" w:name="_Toc300933421"/>
      <w:bookmarkStart w:id="22" w:name="_Toc370223467"/>
      <w:bookmarkStart w:id="23" w:name="_Toc471478799"/>
      <w:bookmarkStart w:id="24" w:name="_Toc471478936"/>
      <w:r w:rsidRPr="00653D9D">
        <w:t>1.</w:t>
      </w:r>
      <w:r w:rsidR="00236F9B" w:rsidRPr="00653D9D">
        <w:t>2</w:t>
      </w:r>
      <w:r w:rsidRPr="00653D9D">
        <w:tab/>
        <w:t>The current Standard</w:t>
      </w:r>
      <w:bookmarkEnd w:id="20"/>
      <w:bookmarkEnd w:id="21"/>
      <w:bookmarkEnd w:id="22"/>
      <w:bookmarkEnd w:id="23"/>
      <w:bookmarkEnd w:id="24"/>
    </w:p>
    <w:p w14:paraId="787AFECD" w14:textId="75B52B20" w:rsidR="001F5BCA" w:rsidRPr="000F6D44" w:rsidRDefault="00F2160C" w:rsidP="001F5BCA">
      <w:bookmarkStart w:id="25" w:name="_Toc286391007"/>
      <w:bookmarkStart w:id="26" w:name="_Toc300933423"/>
      <w:bookmarkStart w:id="27" w:name="_Toc370223468"/>
      <w:bookmarkStart w:id="28" w:name="_Toc471478800"/>
      <w:bookmarkStart w:id="29" w:name="_Toc471478937"/>
      <w:bookmarkStart w:id="30" w:name="_Toc175381432"/>
      <w:r>
        <w:t>The approved draft variation will amend S</w:t>
      </w:r>
      <w:r w:rsidR="001F5BCA" w:rsidRPr="000D70CA">
        <w:t>tandards 1.1.1, 1.1.2, 1.2.7, 1.2.8</w:t>
      </w:r>
      <w:r w:rsidR="006C1C2A">
        <w:t>, 1.2.10, 1.6.1, 4.2.3</w:t>
      </w:r>
      <w:r w:rsidR="00004041">
        <w:t>, 4.2.5</w:t>
      </w:r>
      <w:r w:rsidR="001F5BCA" w:rsidRPr="000D70CA">
        <w:t xml:space="preserve"> and Schedules 1, </w:t>
      </w:r>
      <w:r w:rsidR="00715A18">
        <w:t xml:space="preserve">3, </w:t>
      </w:r>
      <w:r w:rsidR="001F5BCA" w:rsidRPr="000D70CA">
        <w:t xml:space="preserve">11, </w:t>
      </w:r>
      <w:r w:rsidR="000D70CA" w:rsidRPr="000D70CA">
        <w:t xml:space="preserve">15, </w:t>
      </w:r>
      <w:r w:rsidR="001F5BCA" w:rsidRPr="000D70CA">
        <w:t>18</w:t>
      </w:r>
      <w:r w:rsidR="000D70CA" w:rsidRPr="000D70CA">
        <w:t>, 26</w:t>
      </w:r>
      <w:r w:rsidR="001F5BCA" w:rsidRPr="000D70CA">
        <w:t xml:space="preserve"> and 29.</w:t>
      </w:r>
    </w:p>
    <w:p w14:paraId="314F98E5" w14:textId="5E8733D6" w:rsidR="007A53BF" w:rsidRPr="00653D9D" w:rsidRDefault="007A53BF" w:rsidP="00CE59AA">
      <w:pPr>
        <w:pStyle w:val="Heading2"/>
        <w:rPr>
          <w:u w:color="FFFF00"/>
        </w:rPr>
      </w:pPr>
      <w:r w:rsidRPr="00653D9D">
        <w:rPr>
          <w:u w:color="FFFF00"/>
        </w:rPr>
        <w:t>1.</w:t>
      </w:r>
      <w:r w:rsidR="00236F9B" w:rsidRPr="00653D9D">
        <w:rPr>
          <w:u w:color="FFFF00"/>
        </w:rPr>
        <w:t>3</w:t>
      </w:r>
      <w:r w:rsidRPr="00653D9D">
        <w:rPr>
          <w:u w:color="FFFF00"/>
        </w:rPr>
        <w:tab/>
        <w:t xml:space="preserve">Reasons for </w:t>
      </w:r>
      <w:bookmarkEnd w:id="25"/>
      <w:bookmarkEnd w:id="26"/>
      <w:r w:rsidRPr="00653D9D">
        <w:t>preparing Proposal</w:t>
      </w:r>
      <w:bookmarkEnd w:id="27"/>
      <w:bookmarkEnd w:id="28"/>
      <w:bookmarkEnd w:id="29"/>
    </w:p>
    <w:bookmarkEnd w:id="30"/>
    <w:p w14:paraId="314F98E6" w14:textId="6DEED9DF" w:rsidR="007A53BF" w:rsidRPr="00653D9D" w:rsidRDefault="00207244" w:rsidP="007A53BF">
      <w:r w:rsidRPr="00653D9D">
        <w:t xml:space="preserve">Minor typographical and grammatical errors and cross-reference issues are identified in the Code from time to time. </w:t>
      </w:r>
      <w:r w:rsidR="00C27AD6" w:rsidRPr="00653D9D">
        <w:t>References in the Code also become superseded as the documents they refer to are updated. This Proposal was prepared to resolve such issues.</w:t>
      </w:r>
    </w:p>
    <w:p w14:paraId="314F98E7" w14:textId="03DC7A4E" w:rsidR="007A53BF" w:rsidRPr="00653D9D" w:rsidRDefault="007A53BF" w:rsidP="00CE59AA">
      <w:pPr>
        <w:pStyle w:val="Heading2"/>
      </w:pPr>
      <w:bookmarkStart w:id="31" w:name="_Toc370223469"/>
      <w:bookmarkStart w:id="32" w:name="_Toc471478801"/>
      <w:bookmarkStart w:id="33" w:name="_Toc471478938"/>
      <w:r w:rsidRPr="00653D9D">
        <w:t>1.</w:t>
      </w:r>
      <w:r w:rsidR="00236F9B" w:rsidRPr="00653D9D">
        <w:t>4</w:t>
      </w:r>
      <w:r w:rsidRPr="00653D9D">
        <w:tab/>
        <w:t>Procedure for assessment</w:t>
      </w:r>
      <w:bookmarkEnd w:id="31"/>
      <w:bookmarkEnd w:id="32"/>
      <w:bookmarkEnd w:id="33"/>
    </w:p>
    <w:p w14:paraId="314F98E8" w14:textId="77777777" w:rsidR="00AF397D" w:rsidRPr="00653D9D" w:rsidRDefault="00AF397D" w:rsidP="00AF397D">
      <w:r w:rsidRPr="00653D9D">
        <w:t xml:space="preserve">The Proposal was assessed under the </w:t>
      </w:r>
      <w:r w:rsidR="00207244" w:rsidRPr="00653D9D">
        <w:t>General</w:t>
      </w:r>
      <w:r w:rsidRPr="00653D9D">
        <w:t xml:space="preserve"> Procedure.</w:t>
      </w:r>
    </w:p>
    <w:p w14:paraId="314F98E9" w14:textId="63832565" w:rsidR="00422EC9" w:rsidRPr="00653D9D" w:rsidRDefault="007A53BF" w:rsidP="00422EC9">
      <w:pPr>
        <w:pStyle w:val="Heading2"/>
      </w:pPr>
      <w:bookmarkStart w:id="34" w:name="_Toc471478802"/>
      <w:bookmarkStart w:id="35" w:name="_Toc471478939"/>
      <w:r w:rsidRPr="00653D9D">
        <w:t>1</w:t>
      </w:r>
      <w:r w:rsidR="00422EC9" w:rsidRPr="00653D9D">
        <w:t>.</w:t>
      </w:r>
      <w:r w:rsidR="00236F9B" w:rsidRPr="00653D9D">
        <w:t>5</w:t>
      </w:r>
      <w:r w:rsidR="00422EC9" w:rsidRPr="00653D9D">
        <w:tab/>
        <w:t>Decision</w:t>
      </w:r>
      <w:bookmarkEnd w:id="34"/>
      <w:bookmarkEnd w:id="35"/>
    </w:p>
    <w:p w14:paraId="17176428" w14:textId="5570AE65" w:rsidR="008705B3" w:rsidRDefault="008705B3" w:rsidP="009565CD">
      <w:r w:rsidRPr="00C27AD6">
        <w:t>The draft variation as proposed following assessment was app</w:t>
      </w:r>
      <w:r w:rsidR="00C27AD6" w:rsidRPr="00C27AD6">
        <w:t>roved</w:t>
      </w:r>
      <w:r w:rsidR="002D59CC">
        <w:t xml:space="preserve"> with amendment</w:t>
      </w:r>
      <w:r w:rsidRPr="00C27AD6">
        <w:t>.</w:t>
      </w:r>
    </w:p>
    <w:p w14:paraId="5EDF4F14" w14:textId="6AEA7CEB" w:rsidR="002D59CC" w:rsidRDefault="002D59CC" w:rsidP="009565CD"/>
    <w:p w14:paraId="2335761C" w14:textId="1D5F25CD" w:rsidR="00C51C20" w:rsidRDefault="00085414" w:rsidP="00A10D52">
      <w:r>
        <w:t>The</w:t>
      </w:r>
      <w:r w:rsidR="002D59CC">
        <w:t xml:space="preserve"> draft variation </w:t>
      </w:r>
      <w:r>
        <w:t xml:space="preserve">was amended </w:t>
      </w:r>
      <w:r w:rsidR="008B72A8">
        <w:t xml:space="preserve">to correct additional typographical errors </w:t>
      </w:r>
      <w:r>
        <w:t>and additional</w:t>
      </w:r>
      <w:r w:rsidR="008B72A8">
        <w:t xml:space="preserve"> outdated references in the Code that were identified by FSANZ and submitters during the public consultation period</w:t>
      </w:r>
      <w:r>
        <w:t xml:space="preserve"> (s</w:t>
      </w:r>
      <w:r w:rsidR="008B72A8">
        <w:t xml:space="preserve">ee </w:t>
      </w:r>
      <w:r w:rsidR="008B72A8">
        <w:rPr>
          <w:rFonts w:eastAsia="Calibri"/>
        </w:rPr>
        <w:t>section 2.1</w:t>
      </w:r>
      <w:r>
        <w:t xml:space="preserve"> </w:t>
      </w:r>
      <w:r w:rsidR="008B72A8">
        <w:t>below</w:t>
      </w:r>
      <w:r>
        <w:t>).</w:t>
      </w:r>
      <w:r w:rsidR="00F2160C">
        <w:t xml:space="preserve"> The a</w:t>
      </w:r>
      <w:r w:rsidR="000D1BE4" w:rsidRPr="00272E43">
        <w:rPr>
          <w:rFonts w:eastAsia="Calibri"/>
        </w:rPr>
        <w:t>dditional</w:t>
      </w:r>
      <w:r w:rsidR="002D59CC" w:rsidRPr="00272E43">
        <w:rPr>
          <w:rFonts w:eastAsia="Calibri"/>
        </w:rPr>
        <w:t xml:space="preserve"> </w:t>
      </w:r>
      <w:r>
        <w:rPr>
          <w:rFonts w:eastAsia="Calibri"/>
        </w:rPr>
        <w:t>variations were included as</w:t>
      </w:r>
      <w:r w:rsidRPr="00A10D52">
        <w:rPr>
          <w:rFonts w:eastAsia="Calibri"/>
        </w:rPr>
        <w:t xml:space="preserve"> </w:t>
      </w:r>
      <w:r w:rsidR="00AC173D" w:rsidRPr="00A10D52">
        <w:rPr>
          <w:rFonts w:eastAsia="Calibri"/>
        </w:rPr>
        <w:t>item</w:t>
      </w:r>
      <w:r>
        <w:rPr>
          <w:rFonts w:eastAsia="Calibri"/>
        </w:rPr>
        <w:t>s</w:t>
      </w:r>
      <w:r w:rsidR="00AC173D" w:rsidRPr="00A10D52">
        <w:rPr>
          <w:rFonts w:eastAsia="Calibri"/>
        </w:rPr>
        <w:t xml:space="preserve"> [7</w:t>
      </w:r>
      <w:r w:rsidR="007F28C9" w:rsidRPr="00272E43">
        <w:rPr>
          <w:rFonts w:eastAsia="Calibri"/>
        </w:rPr>
        <w:t>] to</w:t>
      </w:r>
      <w:r w:rsidR="00774DAD">
        <w:rPr>
          <w:rFonts w:eastAsia="Calibri"/>
        </w:rPr>
        <w:t xml:space="preserve"> [13] and </w:t>
      </w:r>
      <w:r w:rsidR="00EE72A1" w:rsidRPr="006D59E4">
        <w:rPr>
          <w:rFonts w:eastAsia="Calibri"/>
        </w:rPr>
        <w:t>[</w:t>
      </w:r>
      <w:r w:rsidR="00774DAD" w:rsidRPr="00774DAD">
        <w:rPr>
          <w:rFonts w:eastAsia="Calibri"/>
        </w:rPr>
        <w:t>1</w:t>
      </w:r>
      <w:r w:rsidR="00774DAD">
        <w:rPr>
          <w:rFonts w:eastAsia="Calibri"/>
        </w:rPr>
        <w:t>6</w:t>
      </w:r>
      <w:r w:rsidR="00614E0F" w:rsidRPr="00D56057">
        <w:rPr>
          <w:rFonts w:eastAsia="Calibri"/>
        </w:rPr>
        <w:t>] to [1</w:t>
      </w:r>
      <w:r w:rsidR="00774DAD">
        <w:rPr>
          <w:rFonts w:eastAsia="Calibri"/>
        </w:rPr>
        <w:t>9</w:t>
      </w:r>
      <w:r w:rsidR="00EE72A1" w:rsidRPr="006D59E4">
        <w:rPr>
          <w:rFonts w:eastAsia="Calibri"/>
        </w:rPr>
        <w:t>]</w:t>
      </w:r>
      <w:r>
        <w:rPr>
          <w:rFonts w:eastAsia="Calibri"/>
        </w:rPr>
        <w:t xml:space="preserve"> of the </w:t>
      </w:r>
      <w:r w:rsidR="00B81A88">
        <w:rPr>
          <w:rFonts w:eastAsia="Calibri"/>
        </w:rPr>
        <w:t xml:space="preserve">approved </w:t>
      </w:r>
      <w:r>
        <w:rPr>
          <w:rFonts w:eastAsia="Calibri"/>
        </w:rPr>
        <w:t>draft variation.</w:t>
      </w:r>
      <w:r>
        <w:t xml:space="preserve">  </w:t>
      </w:r>
      <w:r w:rsidR="008B72A8">
        <w:t xml:space="preserve">Each additional </w:t>
      </w:r>
      <w:r>
        <w:t>variation</w:t>
      </w:r>
    </w:p>
    <w:p w14:paraId="2D751617" w14:textId="5BECB701" w:rsidR="008B72A8" w:rsidRDefault="008B72A8" w:rsidP="00A10D52">
      <w:r>
        <w:t xml:space="preserve"> </w:t>
      </w:r>
      <w:r w:rsidR="00B81A88">
        <w:t>is</w:t>
      </w:r>
      <w:r>
        <w:t xml:space="preserve"> explained in SD1.</w:t>
      </w:r>
      <w:r w:rsidR="00D55703">
        <w:t xml:space="preserve"> The formatting of the draft variation was also amended to improve clarity.</w:t>
      </w:r>
    </w:p>
    <w:p w14:paraId="7D59DD56" w14:textId="77777777" w:rsidR="008B72A8" w:rsidRDefault="008B72A8" w:rsidP="009565CD"/>
    <w:p w14:paraId="314F98EB" w14:textId="33DB4103" w:rsidR="00207244" w:rsidRPr="00C27AD6" w:rsidRDefault="008705B3" w:rsidP="009565CD">
      <w:r w:rsidRPr="00C27AD6">
        <w:t>The approved draf</w:t>
      </w:r>
      <w:r w:rsidR="00C27AD6" w:rsidRPr="00C27AD6">
        <w:t>t variation</w:t>
      </w:r>
      <w:r w:rsidR="00280BAA">
        <w:t xml:space="preserve"> </w:t>
      </w:r>
      <w:r w:rsidRPr="00C27AD6">
        <w:t xml:space="preserve">is at Attachment A. The approved variation takes effect on </w:t>
      </w:r>
      <w:r w:rsidR="008C4EE5" w:rsidRPr="00C27AD6">
        <w:t xml:space="preserve">the date of </w:t>
      </w:r>
      <w:r w:rsidRPr="00C27AD6">
        <w:t>gazettal</w:t>
      </w:r>
      <w:r w:rsidR="008C4EE5" w:rsidRPr="00C27AD6">
        <w:t>.</w:t>
      </w:r>
    </w:p>
    <w:p w14:paraId="2B678D3B" w14:textId="414FD247" w:rsidR="008705B3" w:rsidRPr="00C27AD6" w:rsidRDefault="008705B3" w:rsidP="00207244"/>
    <w:p w14:paraId="314F98EC" w14:textId="4BDD32A9" w:rsidR="00207244" w:rsidRPr="00C27AD6" w:rsidRDefault="00207244" w:rsidP="00207244">
      <w:r w:rsidRPr="00C27AD6">
        <w:t>The explanatory statement is at Attachment B. An explanatory statement is required to accompany an instrument if it is lodged on the Federal Register of Legislati</w:t>
      </w:r>
      <w:r w:rsidR="00CA207A" w:rsidRPr="00C27AD6">
        <w:t>on</w:t>
      </w:r>
      <w:r w:rsidRPr="00C27AD6">
        <w:t xml:space="preserve">. </w:t>
      </w:r>
    </w:p>
    <w:p w14:paraId="314F98ED" w14:textId="77777777" w:rsidR="00207244" w:rsidRPr="00C27AD6" w:rsidRDefault="00207244" w:rsidP="00207244">
      <w:pPr>
        <w:rPr>
          <w:u w:val="single"/>
        </w:rPr>
      </w:pPr>
    </w:p>
    <w:p w14:paraId="314F98EF" w14:textId="5A47AC7D" w:rsidR="00207244" w:rsidRPr="00C27AD6" w:rsidRDefault="00207244" w:rsidP="00401ADE">
      <w:r w:rsidRPr="00C27AD6">
        <w:t>The draft variations on which submissions were sought are at Attachment C.</w:t>
      </w:r>
    </w:p>
    <w:p w14:paraId="314F98F0" w14:textId="77777777" w:rsidR="0012388D" w:rsidRPr="00653D9D" w:rsidRDefault="007A53BF" w:rsidP="00755F02">
      <w:pPr>
        <w:pStyle w:val="Heading1"/>
      </w:pPr>
      <w:bookmarkStart w:id="36" w:name="_Toc471478803"/>
      <w:bookmarkStart w:id="37" w:name="_Toc471478940"/>
      <w:bookmarkStart w:id="38" w:name="_Toc11735630"/>
      <w:bookmarkStart w:id="39" w:name="_Toc29883114"/>
      <w:bookmarkStart w:id="40" w:name="_Toc41906801"/>
      <w:bookmarkStart w:id="41" w:name="_Toc41907548"/>
      <w:bookmarkStart w:id="42" w:name="_Toc120358578"/>
      <w:bookmarkStart w:id="43" w:name="_Toc175381435"/>
      <w:bookmarkEnd w:id="6"/>
      <w:bookmarkEnd w:id="7"/>
      <w:bookmarkEnd w:id="8"/>
      <w:bookmarkEnd w:id="9"/>
      <w:bookmarkEnd w:id="10"/>
      <w:r w:rsidRPr="00653D9D">
        <w:t>2</w:t>
      </w:r>
      <w:r w:rsidR="00AC428E" w:rsidRPr="00653D9D">
        <w:tab/>
      </w:r>
      <w:r w:rsidR="00AF387F" w:rsidRPr="00653D9D">
        <w:t xml:space="preserve">Summary </w:t>
      </w:r>
      <w:r w:rsidR="00AF387F" w:rsidRPr="00653D9D">
        <w:rPr>
          <w:u w:color="FFFF00"/>
        </w:rPr>
        <w:t>of</w:t>
      </w:r>
      <w:r w:rsidR="00AF387F" w:rsidRPr="00653D9D">
        <w:t xml:space="preserve"> the findings</w:t>
      </w:r>
      <w:bookmarkEnd w:id="36"/>
      <w:bookmarkEnd w:id="37"/>
    </w:p>
    <w:p w14:paraId="314F98F1" w14:textId="77777777" w:rsidR="007A53BF" w:rsidRPr="00653D9D" w:rsidRDefault="007A53BF" w:rsidP="007A53BF">
      <w:pPr>
        <w:pStyle w:val="Heading2"/>
      </w:pPr>
      <w:bookmarkStart w:id="44" w:name="_Toc300933438"/>
      <w:bookmarkStart w:id="45" w:name="_Toc370223471"/>
      <w:bookmarkStart w:id="46" w:name="_Toc370225386"/>
      <w:bookmarkStart w:id="47" w:name="_Toc471478804"/>
      <w:bookmarkStart w:id="48" w:name="_Toc471478941"/>
      <w:bookmarkStart w:id="49" w:name="_Toc286391009"/>
      <w:bookmarkStart w:id="50" w:name="_Toc300933425"/>
      <w:bookmarkStart w:id="51" w:name="_Toc309291838"/>
      <w:bookmarkStart w:id="52" w:name="_Toc309385455"/>
      <w:bookmarkStart w:id="53" w:name="_Toc120358583"/>
      <w:bookmarkStart w:id="54" w:name="_Toc175381440"/>
      <w:r w:rsidRPr="00653D9D">
        <w:t>2.1</w:t>
      </w:r>
      <w:r w:rsidRPr="00653D9D">
        <w:tab/>
        <w:t xml:space="preserve">Summary of issues raised </w:t>
      </w:r>
      <w:bookmarkEnd w:id="44"/>
      <w:r w:rsidRPr="00653D9D">
        <w:t>in submissions</w:t>
      </w:r>
      <w:bookmarkEnd w:id="45"/>
      <w:bookmarkEnd w:id="46"/>
      <w:bookmarkEnd w:id="47"/>
      <w:bookmarkEnd w:id="48"/>
    </w:p>
    <w:p w14:paraId="5A010E71" w14:textId="6336916C" w:rsidR="000F47A8" w:rsidRDefault="000F47A8" w:rsidP="001C51DC">
      <w:pPr>
        <w:rPr>
          <w:lang w:bidi="ar-SA"/>
        </w:rPr>
      </w:pPr>
      <w:r>
        <w:rPr>
          <w:lang w:bidi="ar-SA"/>
        </w:rPr>
        <w:t xml:space="preserve">Three submissions were received </w:t>
      </w:r>
      <w:r w:rsidR="00110F93">
        <w:rPr>
          <w:lang w:bidi="ar-SA"/>
        </w:rPr>
        <w:t>in response to</w:t>
      </w:r>
      <w:r>
        <w:rPr>
          <w:lang w:bidi="ar-SA"/>
        </w:rPr>
        <w:t xml:space="preserve"> the call for public submissions.</w:t>
      </w:r>
    </w:p>
    <w:p w14:paraId="21CDC4E3" w14:textId="77777777" w:rsidR="000F47A8" w:rsidRDefault="000F47A8" w:rsidP="001C51DC">
      <w:pPr>
        <w:rPr>
          <w:lang w:bidi="ar-SA"/>
        </w:rPr>
      </w:pPr>
    </w:p>
    <w:p w14:paraId="314F98F2" w14:textId="6BF8A20F" w:rsidR="001C51DC" w:rsidRDefault="00110F93" w:rsidP="001C51DC">
      <w:r>
        <w:rPr>
          <w:lang w:bidi="ar-SA"/>
        </w:rPr>
        <w:t>Two submissions supported the draft amendments and recommended additional amendments</w:t>
      </w:r>
      <w:r w:rsidR="001C51DC" w:rsidRPr="00FC2921">
        <w:t>.</w:t>
      </w:r>
      <w:r>
        <w:t xml:space="preserve"> The other submission recommended that text of one draft amendment be changed and queried the rationale for another. It supported all the other amendments. These issues are considered in Table 1 below.</w:t>
      </w:r>
    </w:p>
    <w:p w14:paraId="3C6E18FA" w14:textId="77777777" w:rsidR="00A10AE4" w:rsidRPr="00FC2921" w:rsidRDefault="00A10AE4" w:rsidP="001C51DC"/>
    <w:p w14:paraId="314F98F4" w14:textId="05D7B57D" w:rsidR="007A53BF" w:rsidRPr="00FC2921" w:rsidRDefault="007A53BF" w:rsidP="00895FA0">
      <w:pPr>
        <w:pStyle w:val="FSTableTitle"/>
        <w:keepNext/>
        <w:keepLines/>
      </w:pPr>
      <w:r w:rsidRPr="00FC2921">
        <w:lastRenderedPageBreak/>
        <w:t xml:space="preserve">Table: Summary of issues </w:t>
      </w:r>
      <w:r w:rsidR="00E26707" w:rsidRPr="00FC2921">
        <w:t>raised by submitters</w:t>
      </w:r>
    </w:p>
    <w:p w14:paraId="314F98F5" w14:textId="77777777" w:rsidR="007A53BF" w:rsidRPr="009A40E5" w:rsidRDefault="007A53BF" w:rsidP="00895FA0">
      <w:pPr>
        <w:keepNext/>
        <w:keepLines/>
        <w:rPr>
          <w:color w:val="FF0000"/>
        </w:rPr>
      </w:pPr>
    </w:p>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Summary of issues raised by submitters"/>
      </w:tblPr>
      <w:tblGrid>
        <w:gridCol w:w="4258"/>
        <w:gridCol w:w="1803"/>
        <w:gridCol w:w="3011"/>
      </w:tblGrid>
      <w:tr w:rsidR="009A40E5" w:rsidRPr="009A40E5" w14:paraId="314F98F9" w14:textId="77777777" w:rsidTr="00B813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8" w:type="dxa"/>
            <w:shd w:val="clear" w:color="auto" w:fill="76923C" w:themeFill="accent3" w:themeFillShade="BF"/>
          </w:tcPr>
          <w:p w14:paraId="314F98F6" w14:textId="77777777" w:rsidR="007A53BF" w:rsidRPr="00FC2921" w:rsidRDefault="007A53BF" w:rsidP="001F5BCA">
            <w:pPr>
              <w:pStyle w:val="FSTableHeading"/>
              <w:keepNext/>
              <w:keepLines/>
              <w:jc w:val="left"/>
              <w:rPr>
                <w:b/>
              </w:rPr>
            </w:pPr>
            <w:r w:rsidRPr="00FC2921">
              <w:t>Issue</w:t>
            </w:r>
          </w:p>
        </w:tc>
        <w:tc>
          <w:tcPr>
            <w:tcW w:w="1803" w:type="dxa"/>
            <w:shd w:val="clear" w:color="auto" w:fill="76923C" w:themeFill="accent3" w:themeFillShade="BF"/>
          </w:tcPr>
          <w:p w14:paraId="314F98F7" w14:textId="77777777" w:rsidR="007A53BF" w:rsidRPr="00FC2921" w:rsidRDefault="007A53BF" w:rsidP="001F5BCA">
            <w:pPr>
              <w:pStyle w:val="FSTableHeading"/>
              <w:keepNext/>
              <w:keepLines/>
              <w:jc w:val="left"/>
              <w:cnfStyle w:val="100000000000" w:firstRow="1" w:lastRow="0" w:firstColumn="0" w:lastColumn="0" w:oddVBand="0" w:evenVBand="0" w:oddHBand="0" w:evenHBand="0" w:firstRowFirstColumn="0" w:firstRowLastColumn="0" w:lastRowFirstColumn="0" w:lastRowLastColumn="0"/>
              <w:rPr>
                <w:b/>
              </w:rPr>
            </w:pPr>
            <w:r w:rsidRPr="00FC2921">
              <w:t>Raised by</w:t>
            </w:r>
          </w:p>
        </w:tc>
        <w:tc>
          <w:tcPr>
            <w:tcW w:w="3011" w:type="dxa"/>
            <w:shd w:val="clear" w:color="auto" w:fill="76923C" w:themeFill="accent3" w:themeFillShade="BF"/>
          </w:tcPr>
          <w:p w14:paraId="314F98F8" w14:textId="77777777" w:rsidR="001D43F6" w:rsidRPr="00FC2921" w:rsidRDefault="007A53BF" w:rsidP="001F5BCA">
            <w:pPr>
              <w:pStyle w:val="FSTableHeading"/>
              <w:keepNext/>
              <w:keepLines/>
              <w:jc w:val="left"/>
              <w:cnfStyle w:val="100000000000" w:firstRow="1" w:lastRow="0" w:firstColumn="0" w:lastColumn="0" w:oddVBand="0" w:evenVBand="0" w:oddHBand="0" w:evenHBand="0" w:firstRowFirstColumn="0" w:firstRowLastColumn="0" w:lastRowFirstColumn="0" w:lastRowLastColumn="0"/>
              <w:rPr>
                <w:b/>
              </w:rPr>
            </w:pPr>
            <w:r w:rsidRPr="00FC2921">
              <w:t>FSANZ response</w:t>
            </w:r>
            <w:r w:rsidR="001D43F6" w:rsidRPr="00FC2921">
              <w:t xml:space="preserve"> (including any amendments to drafting)</w:t>
            </w:r>
          </w:p>
        </w:tc>
      </w:tr>
      <w:tr w:rsidR="009A40E5" w:rsidRPr="009A40E5" w14:paraId="6B7BD4A1" w14:textId="77777777" w:rsidTr="00B81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shd w:val="clear" w:color="auto" w:fill="D6E3BC" w:themeFill="accent3" w:themeFillTint="66"/>
          </w:tcPr>
          <w:p w14:paraId="41EC3D83" w14:textId="7BDF3E3B" w:rsidR="00E847D8" w:rsidRDefault="00E847D8" w:rsidP="00240FD8">
            <w:pPr>
              <w:rPr>
                <w:rFonts w:cs="Arial"/>
                <w:b w:val="0"/>
                <w:sz w:val="20"/>
              </w:rPr>
            </w:pPr>
            <w:r>
              <w:rPr>
                <w:rFonts w:cs="Arial"/>
                <w:b w:val="0"/>
                <w:sz w:val="20"/>
              </w:rPr>
              <w:t xml:space="preserve">Amendment made by Item [2] of the Schedule of the draft variation </w:t>
            </w:r>
          </w:p>
          <w:p w14:paraId="316318E9" w14:textId="77777777" w:rsidR="00E847D8" w:rsidRDefault="00E847D8" w:rsidP="00240FD8">
            <w:pPr>
              <w:rPr>
                <w:rFonts w:cs="Arial"/>
                <w:b w:val="0"/>
                <w:sz w:val="20"/>
              </w:rPr>
            </w:pPr>
          </w:p>
          <w:p w14:paraId="007C6278" w14:textId="04222F75" w:rsidR="0028218D" w:rsidRDefault="00E847D8" w:rsidP="00240FD8">
            <w:pPr>
              <w:rPr>
                <w:rFonts w:cs="Arial"/>
                <w:b w:val="0"/>
                <w:sz w:val="20"/>
              </w:rPr>
            </w:pPr>
            <w:r>
              <w:rPr>
                <w:rFonts w:cs="Arial"/>
                <w:b w:val="0"/>
                <w:sz w:val="20"/>
              </w:rPr>
              <w:t>Supports the draft amendment</w:t>
            </w:r>
            <w:r w:rsidR="0028218D">
              <w:rPr>
                <w:rFonts w:cs="Arial"/>
                <w:b w:val="0"/>
                <w:sz w:val="20"/>
              </w:rPr>
              <w:t xml:space="preserve"> </w:t>
            </w:r>
          </w:p>
          <w:p w14:paraId="4FB56E12" w14:textId="77777777" w:rsidR="0028218D" w:rsidRDefault="0028218D" w:rsidP="00240FD8">
            <w:pPr>
              <w:rPr>
                <w:rFonts w:cs="Arial"/>
                <w:b w:val="0"/>
                <w:sz w:val="20"/>
              </w:rPr>
            </w:pPr>
          </w:p>
          <w:p w14:paraId="5871702A" w14:textId="77777777" w:rsidR="008B72A8" w:rsidRDefault="0028218D" w:rsidP="00240FD8">
            <w:pPr>
              <w:rPr>
                <w:rFonts w:cs="Arial"/>
                <w:b w:val="0"/>
                <w:sz w:val="20"/>
              </w:rPr>
            </w:pPr>
            <w:r>
              <w:rPr>
                <w:rFonts w:cs="Arial"/>
                <w:b w:val="0"/>
                <w:sz w:val="20"/>
              </w:rPr>
              <w:t>Additional comments on how the Code references external documents and the ad</w:t>
            </w:r>
            <w:r>
              <w:rPr>
                <w:rFonts w:cs="Arial"/>
                <w:b w:val="0"/>
                <w:sz w:val="20"/>
              </w:rPr>
              <w:noBreakHyphen/>
              <w:t xml:space="preserve">hoc approach </w:t>
            </w:r>
            <w:r w:rsidR="00505261">
              <w:rPr>
                <w:rFonts w:cs="Arial"/>
                <w:b w:val="0"/>
                <w:sz w:val="20"/>
              </w:rPr>
              <w:t>taken to update</w:t>
            </w:r>
            <w:r>
              <w:rPr>
                <w:rFonts w:cs="Arial"/>
                <w:b w:val="0"/>
                <w:sz w:val="20"/>
              </w:rPr>
              <w:t xml:space="preserve"> references in the Code. </w:t>
            </w:r>
          </w:p>
          <w:p w14:paraId="4927172B" w14:textId="77777777" w:rsidR="008B72A8" w:rsidRDefault="008B72A8" w:rsidP="00240FD8">
            <w:pPr>
              <w:rPr>
                <w:rFonts w:cs="Arial"/>
                <w:b w:val="0"/>
                <w:sz w:val="20"/>
              </w:rPr>
            </w:pPr>
          </w:p>
          <w:p w14:paraId="61D0CBD1" w14:textId="3F5A3B46" w:rsidR="008B72A8" w:rsidRDefault="008B72A8" w:rsidP="008B72A8">
            <w:pPr>
              <w:rPr>
                <w:rFonts w:cs="Arial"/>
                <w:b w:val="0"/>
                <w:sz w:val="20"/>
              </w:rPr>
            </w:pPr>
            <w:r w:rsidRPr="00933BAE">
              <w:rPr>
                <w:rFonts w:cs="Arial"/>
                <w:b w:val="0"/>
                <w:sz w:val="20"/>
              </w:rPr>
              <w:t xml:space="preserve">There are </w:t>
            </w:r>
            <w:r>
              <w:rPr>
                <w:rFonts w:cs="Arial"/>
                <w:b w:val="0"/>
                <w:sz w:val="20"/>
              </w:rPr>
              <w:t xml:space="preserve">still </w:t>
            </w:r>
            <w:r w:rsidRPr="00933BAE">
              <w:rPr>
                <w:rFonts w:cs="Arial"/>
                <w:b w:val="0"/>
                <w:sz w:val="20"/>
              </w:rPr>
              <w:t>references</w:t>
            </w:r>
            <w:r>
              <w:rPr>
                <w:rFonts w:cs="Arial"/>
                <w:b w:val="0"/>
                <w:sz w:val="20"/>
              </w:rPr>
              <w:t xml:space="preserve"> in the Code</w:t>
            </w:r>
            <w:r w:rsidRPr="00933BAE">
              <w:rPr>
                <w:rFonts w:cs="Arial"/>
                <w:b w:val="0"/>
                <w:sz w:val="20"/>
              </w:rPr>
              <w:t xml:space="preserve"> </w:t>
            </w:r>
            <w:r>
              <w:rPr>
                <w:rFonts w:cs="Arial"/>
                <w:b w:val="0"/>
                <w:sz w:val="20"/>
              </w:rPr>
              <w:t>are</w:t>
            </w:r>
            <w:r w:rsidRPr="00933BAE">
              <w:rPr>
                <w:rFonts w:cs="Arial"/>
                <w:b w:val="0"/>
                <w:sz w:val="20"/>
              </w:rPr>
              <w:t xml:space="preserve"> out of date</w:t>
            </w:r>
            <w:r>
              <w:rPr>
                <w:rFonts w:cs="Arial"/>
                <w:b w:val="0"/>
                <w:sz w:val="20"/>
              </w:rPr>
              <w:t xml:space="preserve"> (two examples provided). </w:t>
            </w:r>
          </w:p>
          <w:p w14:paraId="0FFDA607" w14:textId="77777777" w:rsidR="008B72A8" w:rsidRDefault="008B72A8" w:rsidP="00240FD8">
            <w:pPr>
              <w:rPr>
                <w:rFonts w:cs="Arial"/>
                <w:b w:val="0"/>
                <w:sz w:val="20"/>
              </w:rPr>
            </w:pPr>
          </w:p>
          <w:p w14:paraId="32BF24FB" w14:textId="16898A36" w:rsidR="00CE1368" w:rsidRPr="00FC2921" w:rsidRDefault="00CE0DE3" w:rsidP="00240FD8">
            <w:pPr>
              <w:rPr>
                <w:rFonts w:cs="Arial"/>
                <w:b w:val="0"/>
                <w:sz w:val="20"/>
              </w:rPr>
            </w:pPr>
            <w:r>
              <w:rPr>
                <w:rFonts w:cs="Arial"/>
                <w:b w:val="0"/>
                <w:sz w:val="20"/>
              </w:rPr>
              <w:t xml:space="preserve">FSANZ should adopt a </w:t>
            </w:r>
            <w:r w:rsidR="0028218D">
              <w:rPr>
                <w:rFonts w:cs="Arial"/>
                <w:b w:val="0"/>
                <w:sz w:val="20"/>
              </w:rPr>
              <w:t>systematic approach</w:t>
            </w:r>
            <w:r>
              <w:rPr>
                <w:rFonts w:cs="Arial"/>
                <w:b w:val="0"/>
                <w:sz w:val="20"/>
              </w:rPr>
              <w:t xml:space="preserve"> to ensure all references in the Code rema</w:t>
            </w:r>
            <w:r w:rsidR="00505261">
              <w:rPr>
                <w:rFonts w:cs="Arial"/>
                <w:b w:val="0"/>
                <w:sz w:val="20"/>
              </w:rPr>
              <w:t>in up to date. Suggested that</w:t>
            </w:r>
            <w:r>
              <w:rPr>
                <w:rFonts w:cs="Arial"/>
                <w:b w:val="0"/>
                <w:sz w:val="20"/>
              </w:rPr>
              <w:t xml:space="preserve"> FSANZ reference documents ‘as updated from time to time’ consistent with the approach in the EU.</w:t>
            </w:r>
            <w:r w:rsidR="0028218D">
              <w:rPr>
                <w:rFonts w:cs="Arial"/>
                <w:b w:val="0"/>
                <w:sz w:val="20"/>
              </w:rPr>
              <w:t xml:space="preserve"> </w:t>
            </w:r>
            <w:r w:rsidR="00036EBA" w:rsidRPr="00933BAE">
              <w:rPr>
                <w:rFonts w:cs="Arial"/>
                <w:b w:val="0"/>
                <w:sz w:val="20"/>
              </w:rPr>
              <w:br/>
            </w:r>
          </w:p>
        </w:tc>
        <w:tc>
          <w:tcPr>
            <w:tcW w:w="1803" w:type="dxa"/>
            <w:shd w:val="clear" w:color="auto" w:fill="D6E3BC" w:themeFill="accent3" w:themeFillTint="66"/>
          </w:tcPr>
          <w:p w14:paraId="501602D5" w14:textId="77777777" w:rsidR="008F5DC6" w:rsidRDefault="008F5DC6" w:rsidP="00240FD8">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Victorian Department of Health &amp; Human Services and Economic Development, Jobs, Transport &amp; Resources</w:t>
            </w:r>
          </w:p>
          <w:p w14:paraId="69FA883F" w14:textId="4BC14237" w:rsidR="00CE1368" w:rsidRPr="00FC2921" w:rsidRDefault="008F5DC6" w:rsidP="00240FD8">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 </w:t>
            </w:r>
          </w:p>
        </w:tc>
        <w:tc>
          <w:tcPr>
            <w:tcW w:w="3011" w:type="dxa"/>
            <w:shd w:val="clear" w:color="auto" w:fill="D6E3BC" w:themeFill="accent3" w:themeFillTint="66"/>
          </w:tcPr>
          <w:p w14:paraId="7F12CFFC" w14:textId="556468F5" w:rsidR="00161B93" w:rsidRDefault="00CE0DE3" w:rsidP="00240FD8">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Noted. </w:t>
            </w:r>
            <w:r>
              <w:rPr>
                <w:rFonts w:cs="Arial"/>
                <w:sz w:val="20"/>
              </w:rPr>
              <w:br/>
            </w:r>
            <w:r>
              <w:rPr>
                <w:rFonts w:cs="Arial"/>
                <w:sz w:val="20"/>
              </w:rPr>
              <w:br/>
              <w:t xml:space="preserve">These </w:t>
            </w:r>
            <w:r w:rsidR="008B72A8">
              <w:rPr>
                <w:rFonts w:cs="Arial"/>
                <w:sz w:val="20"/>
              </w:rPr>
              <w:t xml:space="preserve">additional </w:t>
            </w:r>
            <w:r>
              <w:rPr>
                <w:rFonts w:cs="Arial"/>
                <w:sz w:val="20"/>
              </w:rPr>
              <w:t xml:space="preserve">comments </w:t>
            </w:r>
            <w:r w:rsidR="00FF2311">
              <w:rPr>
                <w:rFonts w:cs="Arial"/>
                <w:sz w:val="20"/>
              </w:rPr>
              <w:t>are</w:t>
            </w:r>
            <w:r>
              <w:rPr>
                <w:rFonts w:cs="Arial"/>
                <w:sz w:val="20"/>
              </w:rPr>
              <w:t xml:space="preserve"> beyond the scope of P</w:t>
            </w:r>
            <w:r w:rsidR="00847E16">
              <w:rPr>
                <w:rFonts w:cs="Arial"/>
                <w:sz w:val="20"/>
              </w:rPr>
              <w:t>1</w:t>
            </w:r>
            <w:r>
              <w:rPr>
                <w:rFonts w:cs="Arial"/>
                <w:sz w:val="20"/>
              </w:rPr>
              <w:t>048</w:t>
            </w:r>
            <w:r w:rsidR="00161B93">
              <w:rPr>
                <w:rFonts w:cs="Arial"/>
                <w:sz w:val="20"/>
              </w:rPr>
              <w:t>.</w:t>
            </w:r>
            <w:r>
              <w:rPr>
                <w:rFonts w:cs="Arial"/>
                <w:sz w:val="20"/>
              </w:rPr>
              <w:t xml:space="preserve"> </w:t>
            </w:r>
          </w:p>
          <w:p w14:paraId="5E942337" w14:textId="77777777" w:rsidR="00161B93" w:rsidRDefault="00161B93" w:rsidP="00240FD8">
            <w:pPr>
              <w:cnfStyle w:val="000000100000" w:firstRow="0" w:lastRow="0" w:firstColumn="0" w:lastColumn="0" w:oddVBand="0" w:evenVBand="0" w:oddHBand="1" w:evenHBand="0" w:firstRowFirstColumn="0" w:firstRowLastColumn="0" w:lastRowFirstColumn="0" w:lastRowLastColumn="0"/>
              <w:rPr>
                <w:rFonts w:cs="Arial"/>
                <w:sz w:val="20"/>
              </w:rPr>
            </w:pPr>
          </w:p>
          <w:p w14:paraId="4B49DBA3" w14:textId="4D367D9B" w:rsidR="00CE1368" w:rsidRPr="00FC2921" w:rsidRDefault="00CE0DE3" w:rsidP="00992C45">
            <w:pPr>
              <w:cnfStyle w:val="000000100000" w:firstRow="0" w:lastRow="0" w:firstColumn="0" w:lastColumn="0" w:oddVBand="0" w:evenVBand="0" w:oddHBand="1" w:evenHBand="0" w:firstRowFirstColumn="0" w:firstRowLastColumn="0" w:lastRowFirstColumn="0" w:lastRowLastColumn="0"/>
              <w:rPr>
                <w:rFonts w:cs="Arial"/>
                <w:b/>
                <w:sz w:val="20"/>
              </w:rPr>
            </w:pPr>
            <w:r>
              <w:rPr>
                <w:rFonts w:cs="Arial"/>
                <w:sz w:val="20"/>
              </w:rPr>
              <w:t xml:space="preserve">FSANZ </w:t>
            </w:r>
            <w:r w:rsidR="00BD0DE5">
              <w:rPr>
                <w:rFonts w:cs="Arial"/>
                <w:sz w:val="20"/>
              </w:rPr>
              <w:t>cannot</w:t>
            </w:r>
            <w:r>
              <w:rPr>
                <w:rFonts w:cs="Arial"/>
                <w:sz w:val="20"/>
              </w:rPr>
              <w:t xml:space="preserve"> make a standard that refers to or incorporates an external document </w:t>
            </w:r>
            <w:r w:rsidRPr="00110F93">
              <w:rPr>
                <w:rFonts w:cs="Arial"/>
                <w:sz w:val="20"/>
              </w:rPr>
              <w:t>‘as updated from time to time’</w:t>
            </w:r>
            <w:r w:rsidR="00BD0DE5">
              <w:rPr>
                <w:rFonts w:cs="Arial"/>
                <w:b/>
                <w:sz w:val="20"/>
              </w:rPr>
              <w:t xml:space="preserve">. </w:t>
            </w:r>
            <w:r w:rsidR="00BD0DE5">
              <w:rPr>
                <w:rFonts w:cs="Arial"/>
                <w:sz w:val="20"/>
              </w:rPr>
              <w:t xml:space="preserve">Standards made by FSANZ are legislative instruments for the purposes of the </w:t>
            </w:r>
            <w:r w:rsidR="00177265" w:rsidRPr="00110F93">
              <w:rPr>
                <w:rFonts w:cs="Arial"/>
                <w:i/>
                <w:sz w:val="20"/>
              </w:rPr>
              <w:t>Legislation Act 2003</w:t>
            </w:r>
            <w:r w:rsidR="00177265">
              <w:rPr>
                <w:rFonts w:cs="Arial"/>
                <w:sz w:val="20"/>
              </w:rPr>
              <w:t xml:space="preserve"> </w:t>
            </w:r>
            <w:r>
              <w:rPr>
                <w:rFonts w:cs="Arial"/>
                <w:sz w:val="20"/>
              </w:rPr>
              <w:t>(Cth)</w:t>
            </w:r>
            <w:r w:rsidR="00BD0DE5">
              <w:rPr>
                <w:rFonts w:cs="Arial"/>
                <w:sz w:val="20"/>
              </w:rPr>
              <w:t>. Section 14 of that Commonwealth Act</w:t>
            </w:r>
            <w:r>
              <w:rPr>
                <w:rFonts w:cs="Arial"/>
                <w:sz w:val="20"/>
              </w:rPr>
              <w:t xml:space="preserve"> </w:t>
            </w:r>
            <w:r w:rsidR="00177265">
              <w:rPr>
                <w:rFonts w:cs="Arial"/>
                <w:sz w:val="20"/>
              </w:rPr>
              <w:t>prohibits a legislative instrument from i</w:t>
            </w:r>
            <w:r w:rsidR="00177265" w:rsidRPr="00177265">
              <w:rPr>
                <w:rFonts w:cs="Arial"/>
                <w:sz w:val="20"/>
              </w:rPr>
              <w:t>ncorporating any matter cont</w:t>
            </w:r>
            <w:r w:rsidR="00177265">
              <w:rPr>
                <w:rFonts w:cs="Arial"/>
                <w:sz w:val="20"/>
              </w:rPr>
              <w:t>ained in an</w:t>
            </w:r>
            <w:r w:rsidR="00B81A88">
              <w:rPr>
                <w:rFonts w:cs="Arial"/>
                <w:sz w:val="20"/>
              </w:rPr>
              <w:t>other</w:t>
            </w:r>
            <w:r w:rsidR="00177265">
              <w:rPr>
                <w:rFonts w:cs="Arial"/>
                <w:sz w:val="20"/>
              </w:rPr>
              <w:t xml:space="preserve"> instrument/</w:t>
            </w:r>
            <w:r w:rsidR="00992C45">
              <w:rPr>
                <w:rFonts w:cs="Arial"/>
                <w:sz w:val="20"/>
              </w:rPr>
              <w:t>document</w:t>
            </w:r>
            <w:r w:rsidR="00177265" w:rsidRPr="00177265">
              <w:rPr>
                <w:rFonts w:cs="Arial"/>
                <w:sz w:val="20"/>
              </w:rPr>
              <w:t xml:space="preserve"> </w:t>
            </w:r>
            <w:r w:rsidR="00177265" w:rsidRPr="00915172">
              <w:rPr>
                <w:rFonts w:cs="Arial"/>
                <w:sz w:val="20"/>
              </w:rPr>
              <w:t>as in force or existing from time to time.</w:t>
            </w:r>
            <w:r w:rsidR="00177265">
              <w:rPr>
                <w:rFonts w:cs="Arial"/>
                <w:sz w:val="20"/>
              </w:rPr>
              <w:t xml:space="preserve">  Therefore, when the Code </w:t>
            </w:r>
            <w:r>
              <w:rPr>
                <w:rFonts w:cs="Arial"/>
                <w:sz w:val="20"/>
              </w:rPr>
              <w:t xml:space="preserve">refers to or incorporates </w:t>
            </w:r>
            <w:r w:rsidR="00177265">
              <w:rPr>
                <w:rFonts w:cs="Arial"/>
                <w:sz w:val="20"/>
              </w:rPr>
              <w:t xml:space="preserve">an external document, it </w:t>
            </w:r>
            <w:r w:rsidR="00BD0DE5">
              <w:rPr>
                <w:rFonts w:cs="Arial"/>
                <w:sz w:val="20"/>
              </w:rPr>
              <w:t>must refer to</w:t>
            </w:r>
            <w:r>
              <w:rPr>
                <w:rFonts w:cs="Arial"/>
                <w:sz w:val="20"/>
              </w:rPr>
              <w:t xml:space="preserve"> </w:t>
            </w:r>
            <w:r w:rsidR="00BD0DE5">
              <w:rPr>
                <w:rFonts w:cs="Arial"/>
                <w:sz w:val="20"/>
              </w:rPr>
              <w:t xml:space="preserve">that </w:t>
            </w:r>
            <w:r w:rsidR="00177265">
              <w:rPr>
                <w:rFonts w:cs="Arial"/>
                <w:sz w:val="20"/>
              </w:rPr>
              <w:t xml:space="preserve">document </w:t>
            </w:r>
            <w:r>
              <w:rPr>
                <w:rFonts w:cs="Arial"/>
                <w:sz w:val="20"/>
              </w:rPr>
              <w:t xml:space="preserve">as it is </w:t>
            </w:r>
            <w:r w:rsidR="00177265">
              <w:rPr>
                <w:rFonts w:cs="Arial"/>
                <w:sz w:val="20"/>
              </w:rPr>
              <w:t>at a specific point in time</w:t>
            </w:r>
            <w:r w:rsidR="00BD0DE5">
              <w:rPr>
                <w:rFonts w:cs="Arial"/>
                <w:sz w:val="20"/>
              </w:rPr>
              <w:t xml:space="preserve"> (eg, to a specific edition)</w:t>
            </w:r>
            <w:r w:rsidR="00177265">
              <w:rPr>
                <w:rFonts w:cs="Arial"/>
                <w:sz w:val="20"/>
              </w:rPr>
              <w:t>.</w:t>
            </w:r>
            <w:r w:rsidR="00130DD4">
              <w:rPr>
                <w:rFonts w:cs="Arial"/>
                <w:sz w:val="20"/>
              </w:rPr>
              <w:br/>
            </w:r>
            <w:r w:rsidR="00130DD4">
              <w:rPr>
                <w:rFonts w:cs="Arial"/>
                <w:sz w:val="20"/>
              </w:rPr>
              <w:br/>
            </w:r>
            <w:r w:rsidR="008B72A8">
              <w:rPr>
                <w:rFonts w:cs="Arial"/>
                <w:sz w:val="20"/>
              </w:rPr>
              <w:t>The two outdated references identified have been corrected.</w:t>
            </w:r>
            <w:r w:rsidR="00130DD4">
              <w:rPr>
                <w:rFonts w:cs="Arial"/>
                <w:sz w:val="20"/>
              </w:rPr>
              <w:t xml:space="preserve">  See the new items [8] – [10</w:t>
            </w:r>
            <w:r w:rsidR="00D55703">
              <w:rPr>
                <w:rFonts w:cs="Arial"/>
                <w:sz w:val="20"/>
              </w:rPr>
              <w:t>A</w:t>
            </w:r>
            <w:r w:rsidR="00130DD4">
              <w:rPr>
                <w:rFonts w:cs="Arial"/>
                <w:sz w:val="20"/>
              </w:rPr>
              <w:t>] in the approved draft variation.</w:t>
            </w:r>
            <w:r w:rsidR="00177265">
              <w:rPr>
                <w:rFonts w:cs="Arial"/>
                <w:sz w:val="20"/>
              </w:rPr>
              <w:br/>
              <w:t xml:space="preserve"> </w:t>
            </w:r>
          </w:p>
        </w:tc>
      </w:tr>
      <w:tr w:rsidR="009A40E5" w:rsidRPr="009A40E5" w14:paraId="0120766E" w14:textId="77777777" w:rsidTr="00B813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79C0EB7D" w14:textId="08995BDB" w:rsidR="00E847D8" w:rsidRDefault="00E847D8" w:rsidP="00E847D8">
            <w:pPr>
              <w:rPr>
                <w:rFonts w:cs="Arial"/>
                <w:b w:val="0"/>
                <w:sz w:val="20"/>
              </w:rPr>
            </w:pPr>
            <w:r>
              <w:rPr>
                <w:rFonts w:cs="Arial"/>
                <w:b w:val="0"/>
                <w:sz w:val="20"/>
              </w:rPr>
              <w:t xml:space="preserve">Amendment made by Item [1] of the Schedule of the draft variation </w:t>
            </w:r>
          </w:p>
          <w:p w14:paraId="5ECBB413" w14:textId="77777777" w:rsidR="00E847D8" w:rsidRDefault="00E847D8" w:rsidP="00FF2311">
            <w:pPr>
              <w:rPr>
                <w:rFonts w:cs="Arial"/>
                <w:b w:val="0"/>
                <w:sz w:val="20"/>
              </w:rPr>
            </w:pPr>
          </w:p>
          <w:p w14:paraId="711DBE77" w14:textId="0BF55BB4" w:rsidR="00FF2311" w:rsidRDefault="00FF2311" w:rsidP="00FF2311">
            <w:pPr>
              <w:rPr>
                <w:rFonts w:cs="Arial"/>
                <w:b w:val="0"/>
                <w:sz w:val="20"/>
              </w:rPr>
            </w:pPr>
            <w:r>
              <w:rPr>
                <w:rFonts w:cs="Arial"/>
                <w:b w:val="0"/>
                <w:sz w:val="20"/>
              </w:rPr>
              <w:t>Supports the draft amendment</w:t>
            </w:r>
          </w:p>
          <w:p w14:paraId="2C2955FF" w14:textId="3096F0B4" w:rsidR="00FF2311" w:rsidRDefault="00FF2311" w:rsidP="00CE1368">
            <w:pPr>
              <w:rPr>
                <w:rFonts w:cs="Arial"/>
                <w:b w:val="0"/>
                <w:sz w:val="20"/>
              </w:rPr>
            </w:pPr>
          </w:p>
          <w:p w14:paraId="50E9A215" w14:textId="76028B94" w:rsidR="00CE1368" w:rsidRDefault="00505261" w:rsidP="00CE1368">
            <w:pPr>
              <w:rPr>
                <w:rFonts w:cs="Arial"/>
                <w:b w:val="0"/>
                <w:sz w:val="20"/>
              </w:rPr>
            </w:pPr>
            <w:r>
              <w:rPr>
                <w:rFonts w:cs="Arial"/>
                <w:b w:val="0"/>
                <w:sz w:val="20"/>
              </w:rPr>
              <w:t>Recommended an additional amendment to</w:t>
            </w:r>
            <w:r w:rsidR="00D03F30" w:rsidRPr="00D03F30">
              <w:rPr>
                <w:rFonts w:cs="Arial"/>
                <w:b w:val="0"/>
                <w:sz w:val="20"/>
              </w:rPr>
              <w:t xml:space="preserve"> </w:t>
            </w:r>
            <w:r w:rsidR="00AC173D">
              <w:rPr>
                <w:rFonts w:cs="Arial"/>
                <w:b w:val="0"/>
                <w:sz w:val="20"/>
              </w:rPr>
              <w:t xml:space="preserve">Schedule 22 </w:t>
            </w:r>
            <w:r w:rsidR="00E37345">
              <w:rPr>
                <w:rFonts w:cs="Arial"/>
                <w:b w:val="0"/>
                <w:sz w:val="20"/>
              </w:rPr>
              <w:t xml:space="preserve">to </w:t>
            </w:r>
            <w:r>
              <w:rPr>
                <w:rFonts w:cs="Arial"/>
                <w:b w:val="0"/>
                <w:sz w:val="20"/>
              </w:rPr>
              <w:t>make</w:t>
            </w:r>
            <w:r w:rsidR="00E37345">
              <w:rPr>
                <w:rFonts w:cs="Arial"/>
                <w:b w:val="0"/>
                <w:sz w:val="20"/>
              </w:rPr>
              <w:t xml:space="preserve"> clear that the paragraphs </w:t>
            </w:r>
            <w:r>
              <w:rPr>
                <w:rFonts w:cs="Arial"/>
                <w:b w:val="0"/>
                <w:sz w:val="20"/>
              </w:rPr>
              <w:t xml:space="preserve">in that Schedule </w:t>
            </w:r>
            <w:r w:rsidR="00E37345">
              <w:rPr>
                <w:rFonts w:cs="Arial"/>
                <w:b w:val="0"/>
                <w:sz w:val="20"/>
              </w:rPr>
              <w:t>that</w:t>
            </w:r>
            <w:r w:rsidR="00AC173D">
              <w:rPr>
                <w:rFonts w:cs="Arial"/>
                <w:b w:val="0"/>
                <w:sz w:val="20"/>
              </w:rPr>
              <w:t xml:space="preserve"> state</w:t>
            </w:r>
            <w:r w:rsidR="00E37345">
              <w:rPr>
                <w:rFonts w:cs="Arial"/>
                <w:b w:val="0"/>
                <w:sz w:val="20"/>
              </w:rPr>
              <w:t xml:space="preserve"> “Portion of the commodity to which the MRL and ERL apply…” appl</w:t>
            </w:r>
            <w:r>
              <w:rPr>
                <w:rFonts w:cs="Arial"/>
                <w:b w:val="0"/>
                <w:sz w:val="20"/>
              </w:rPr>
              <w:t>y</w:t>
            </w:r>
            <w:r w:rsidR="00E37345">
              <w:rPr>
                <w:rFonts w:cs="Arial"/>
                <w:b w:val="0"/>
                <w:sz w:val="20"/>
              </w:rPr>
              <w:t xml:space="preserve"> only in Australia.</w:t>
            </w:r>
          </w:p>
          <w:p w14:paraId="03965C6D" w14:textId="6EEB38A9" w:rsidR="00F234E7" w:rsidRPr="00FC2921" w:rsidRDefault="00F234E7" w:rsidP="00CE1368">
            <w:pPr>
              <w:rPr>
                <w:rFonts w:cs="Arial"/>
                <w:b w:val="0"/>
                <w:sz w:val="20"/>
              </w:rPr>
            </w:pPr>
          </w:p>
        </w:tc>
        <w:tc>
          <w:tcPr>
            <w:tcW w:w="1803" w:type="dxa"/>
          </w:tcPr>
          <w:p w14:paraId="3A648675" w14:textId="297F2719" w:rsidR="00CE1368" w:rsidRPr="00E37345" w:rsidRDefault="00E37345" w:rsidP="00CE1368">
            <w:pPr>
              <w:cnfStyle w:val="000000010000" w:firstRow="0" w:lastRow="0" w:firstColumn="0" w:lastColumn="0" w:oddVBand="0" w:evenVBand="0" w:oddHBand="0" w:evenHBand="1" w:firstRowFirstColumn="0" w:firstRowLastColumn="0" w:lastRowFirstColumn="0" w:lastRowLastColumn="0"/>
              <w:rPr>
                <w:rFonts w:cs="Arial"/>
                <w:sz w:val="20"/>
              </w:rPr>
            </w:pPr>
            <w:r w:rsidRPr="00E37345">
              <w:rPr>
                <w:rFonts w:cs="Arial"/>
                <w:sz w:val="20"/>
              </w:rPr>
              <w:t>New Zealand Food and Grocery Council</w:t>
            </w:r>
          </w:p>
        </w:tc>
        <w:tc>
          <w:tcPr>
            <w:tcW w:w="3011" w:type="dxa"/>
          </w:tcPr>
          <w:p w14:paraId="4C306868" w14:textId="06DA3439" w:rsidR="00505261" w:rsidRDefault="00505261" w:rsidP="00CE1368">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Noted</w:t>
            </w:r>
          </w:p>
          <w:p w14:paraId="726B2D81" w14:textId="77777777" w:rsidR="00505261" w:rsidRDefault="00505261" w:rsidP="00CE1368">
            <w:pPr>
              <w:cnfStyle w:val="000000010000" w:firstRow="0" w:lastRow="0" w:firstColumn="0" w:lastColumn="0" w:oddVBand="0" w:evenVBand="0" w:oddHBand="0" w:evenHBand="1" w:firstRowFirstColumn="0" w:firstRowLastColumn="0" w:lastRowFirstColumn="0" w:lastRowLastColumn="0"/>
              <w:rPr>
                <w:rFonts w:cs="Arial"/>
                <w:sz w:val="20"/>
              </w:rPr>
            </w:pPr>
          </w:p>
          <w:p w14:paraId="1D6E700A" w14:textId="1110F028" w:rsidR="006170E7" w:rsidRDefault="00FF2311" w:rsidP="00AC54C9">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Not agreed.</w:t>
            </w:r>
            <w:r w:rsidR="006170E7">
              <w:rPr>
                <w:rFonts w:cs="Arial"/>
                <w:sz w:val="20"/>
                <w:szCs w:val="20"/>
              </w:rPr>
              <w:t xml:space="preserve"> </w:t>
            </w:r>
            <w:r w:rsidR="00A165DD">
              <w:rPr>
                <w:rFonts w:cs="Arial"/>
                <w:sz w:val="20"/>
                <w:szCs w:val="20"/>
              </w:rPr>
              <w:t xml:space="preserve"> </w:t>
            </w:r>
            <w:r w:rsidR="006234C3">
              <w:rPr>
                <w:rFonts w:cs="Arial"/>
                <w:sz w:val="20"/>
                <w:szCs w:val="20"/>
              </w:rPr>
              <w:br/>
            </w:r>
            <w:r w:rsidR="006234C3">
              <w:rPr>
                <w:rFonts w:cs="Arial"/>
                <w:sz w:val="20"/>
                <w:szCs w:val="20"/>
              </w:rPr>
              <w:br/>
            </w:r>
            <w:r w:rsidR="006170E7">
              <w:rPr>
                <w:rFonts w:cs="Arial"/>
                <w:sz w:val="20"/>
                <w:szCs w:val="20"/>
              </w:rPr>
              <w:t xml:space="preserve">Existing Code provisions make clear that the paragraphs in question apply only in Australia. See for example, </w:t>
            </w:r>
            <w:r w:rsidR="006170E7" w:rsidRPr="00AC54C9">
              <w:rPr>
                <w:rFonts w:cs="Arial"/>
                <w:sz w:val="20"/>
                <w:szCs w:val="20"/>
              </w:rPr>
              <w:t>Note 1 to Schedule 22</w:t>
            </w:r>
            <w:r w:rsidR="00FB12B0">
              <w:rPr>
                <w:rFonts w:cs="Arial"/>
                <w:sz w:val="20"/>
                <w:szCs w:val="20"/>
              </w:rPr>
              <w:t xml:space="preserve">. It </w:t>
            </w:r>
            <w:r w:rsidR="006170E7" w:rsidRPr="00AC54C9">
              <w:rPr>
                <w:rFonts w:cs="Arial"/>
                <w:sz w:val="20"/>
                <w:szCs w:val="20"/>
              </w:rPr>
              <w:t xml:space="preserve">explains </w:t>
            </w:r>
            <w:r w:rsidR="006170E7">
              <w:rPr>
                <w:rFonts w:cs="Arial"/>
                <w:sz w:val="20"/>
                <w:szCs w:val="20"/>
              </w:rPr>
              <w:t xml:space="preserve">which sections of the Code rely on Schedule 22. It </w:t>
            </w:r>
            <w:r w:rsidR="00FB12B0">
              <w:rPr>
                <w:rFonts w:cs="Arial"/>
                <w:sz w:val="20"/>
                <w:szCs w:val="20"/>
              </w:rPr>
              <w:t>also explains</w:t>
            </w:r>
            <w:r w:rsidR="006170E7">
              <w:rPr>
                <w:rFonts w:cs="Arial"/>
                <w:sz w:val="20"/>
                <w:szCs w:val="20"/>
              </w:rPr>
              <w:t xml:space="preserve"> that the references to ‘portions’ in </w:t>
            </w:r>
            <w:r w:rsidR="006170E7" w:rsidRPr="00AC54C9">
              <w:rPr>
                <w:rFonts w:cs="Arial"/>
                <w:sz w:val="20"/>
                <w:szCs w:val="20"/>
              </w:rPr>
              <w:t xml:space="preserve">Schedule 22 </w:t>
            </w:r>
            <w:r w:rsidR="006170E7">
              <w:rPr>
                <w:rFonts w:cs="Arial"/>
                <w:sz w:val="20"/>
                <w:szCs w:val="20"/>
              </w:rPr>
              <w:t>are</w:t>
            </w:r>
            <w:r w:rsidR="006170E7" w:rsidRPr="00AC54C9">
              <w:rPr>
                <w:rFonts w:cs="Arial"/>
                <w:sz w:val="20"/>
                <w:szCs w:val="20"/>
              </w:rPr>
              <w:t xml:space="preserve"> for the purposes of </w:t>
            </w:r>
            <w:r w:rsidR="006170E7" w:rsidRPr="00D56057">
              <w:rPr>
                <w:sz w:val="20"/>
                <w:szCs w:val="20"/>
              </w:rPr>
              <w:t xml:space="preserve">subsection </w:t>
            </w:r>
            <w:r w:rsidR="006170E7">
              <w:rPr>
                <w:sz w:val="20"/>
                <w:szCs w:val="20"/>
              </w:rPr>
              <w:t xml:space="preserve">   </w:t>
            </w:r>
            <w:r w:rsidR="006170E7" w:rsidRPr="00D56057">
              <w:rPr>
                <w:sz w:val="20"/>
                <w:szCs w:val="20"/>
              </w:rPr>
              <w:t xml:space="preserve">1.4.2—3(2) </w:t>
            </w:r>
            <w:r w:rsidR="006170E7">
              <w:rPr>
                <w:sz w:val="20"/>
                <w:szCs w:val="20"/>
              </w:rPr>
              <w:t>in Standard 1.4.2</w:t>
            </w:r>
            <w:r w:rsidR="006170E7" w:rsidRPr="00D56057">
              <w:rPr>
                <w:sz w:val="20"/>
                <w:szCs w:val="20"/>
              </w:rPr>
              <w:t xml:space="preserve">. </w:t>
            </w:r>
            <w:r w:rsidR="006170E7">
              <w:rPr>
                <w:sz w:val="20"/>
                <w:szCs w:val="20"/>
              </w:rPr>
              <w:t>Other Code provisions and Notes</w:t>
            </w:r>
            <w:r w:rsidR="006170E7" w:rsidRPr="00AC54C9">
              <w:rPr>
                <w:sz w:val="20"/>
                <w:szCs w:val="20"/>
              </w:rPr>
              <w:t xml:space="preserve"> </w:t>
            </w:r>
            <w:r w:rsidR="006170E7" w:rsidRPr="00D56057">
              <w:rPr>
                <w:sz w:val="20"/>
                <w:szCs w:val="20"/>
              </w:rPr>
              <w:t>clear</w:t>
            </w:r>
            <w:r w:rsidR="006170E7">
              <w:rPr>
                <w:sz w:val="20"/>
                <w:szCs w:val="20"/>
              </w:rPr>
              <w:t>ly state</w:t>
            </w:r>
            <w:r w:rsidR="006170E7" w:rsidRPr="00D56057">
              <w:rPr>
                <w:sz w:val="20"/>
                <w:szCs w:val="20"/>
              </w:rPr>
              <w:t xml:space="preserve"> that Standard 1.4.2 does not apply in New Zealand. </w:t>
            </w:r>
            <w:r w:rsidR="006170E7" w:rsidRPr="00AC54C9">
              <w:rPr>
                <w:rFonts w:cs="Arial"/>
                <w:sz w:val="20"/>
                <w:szCs w:val="20"/>
              </w:rPr>
              <w:t xml:space="preserve"> </w:t>
            </w:r>
          </w:p>
          <w:p w14:paraId="3D870D92" w14:textId="7469E57D" w:rsidR="00CE1368" w:rsidRPr="00AC54C9" w:rsidRDefault="006170E7" w:rsidP="00AC54C9">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C54C9">
              <w:rPr>
                <w:rFonts w:cs="Arial"/>
                <w:sz w:val="20"/>
                <w:szCs w:val="20"/>
              </w:rPr>
              <w:t xml:space="preserve"> </w:t>
            </w:r>
          </w:p>
        </w:tc>
      </w:tr>
      <w:tr w:rsidR="00357952" w:rsidRPr="009A40E5" w14:paraId="658D2249" w14:textId="77777777" w:rsidTr="00B81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4821B4B4" w14:textId="16BBF5B8" w:rsidR="00E847D8" w:rsidRDefault="00E847D8" w:rsidP="00E847D8">
            <w:pPr>
              <w:rPr>
                <w:rFonts w:cs="Arial"/>
                <w:b w:val="0"/>
                <w:sz w:val="20"/>
              </w:rPr>
            </w:pPr>
            <w:r>
              <w:rPr>
                <w:rFonts w:cs="Arial"/>
                <w:b w:val="0"/>
                <w:sz w:val="20"/>
              </w:rPr>
              <w:t xml:space="preserve">Amendment made by Items [5] and [6] of the Schedule of the draft variation </w:t>
            </w:r>
          </w:p>
          <w:p w14:paraId="4816870D" w14:textId="77777777" w:rsidR="00E847D8" w:rsidRDefault="00E847D8" w:rsidP="00FF2311">
            <w:pPr>
              <w:rPr>
                <w:rFonts w:cs="Arial"/>
                <w:b w:val="0"/>
                <w:sz w:val="20"/>
              </w:rPr>
            </w:pPr>
          </w:p>
          <w:p w14:paraId="3AA6A354" w14:textId="35B2E75B" w:rsidR="00FF2311" w:rsidRDefault="00FF2311" w:rsidP="00FF2311">
            <w:pPr>
              <w:rPr>
                <w:rFonts w:cs="Arial"/>
                <w:b w:val="0"/>
                <w:sz w:val="20"/>
              </w:rPr>
            </w:pPr>
            <w:r>
              <w:rPr>
                <w:rFonts w:cs="Arial"/>
                <w:b w:val="0"/>
                <w:sz w:val="20"/>
              </w:rPr>
              <w:t>Supports the draft amendments</w:t>
            </w:r>
          </w:p>
          <w:p w14:paraId="7E7484C3" w14:textId="77777777" w:rsidR="00161B93" w:rsidRDefault="00161B93" w:rsidP="00CE1368">
            <w:pPr>
              <w:rPr>
                <w:rFonts w:cs="Arial"/>
                <w:b w:val="0"/>
                <w:sz w:val="20"/>
              </w:rPr>
            </w:pPr>
          </w:p>
          <w:p w14:paraId="59E3B146" w14:textId="000D0E42" w:rsidR="00F234E7" w:rsidRDefault="00FF2311" w:rsidP="00CE1368">
            <w:pPr>
              <w:rPr>
                <w:rFonts w:cs="Arial"/>
                <w:b w:val="0"/>
                <w:sz w:val="20"/>
              </w:rPr>
            </w:pPr>
            <w:r>
              <w:rPr>
                <w:rFonts w:cs="Arial"/>
                <w:b w:val="0"/>
                <w:sz w:val="20"/>
              </w:rPr>
              <w:t xml:space="preserve">Recommended additional amendments. </w:t>
            </w:r>
            <w:r w:rsidR="00F234E7" w:rsidRPr="00F234E7">
              <w:rPr>
                <w:rFonts w:cs="Arial"/>
                <w:b w:val="0"/>
                <w:sz w:val="20"/>
              </w:rPr>
              <w:t>The reference</w:t>
            </w:r>
            <w:r w:rsidR="00F234E7">
              <w:rPr>
                <w:rFonts w:cs="Arial"/>
                <w:b w:val="0"/>
                <w:sz w:val="20"/>
              </w:rPr>
              <w:t>s</w:t>
            </w:r>
            <w:r w:rsidR="00763F4C">
              <w:rPr>
                <w:rFonts w:cs="Arial"/>
                <w:b w:val="0"/>
                <w:sz w:val="20"/>
              </w:rPr>
              <w:t xml:space="preserve"> to “small package”</w:t>
            </w:r>
            <w:r w:rsidR="00F234E7" w:rsidRPr="00F234E7">
              <w:rPr>
                <w:rFonts w:cs="Arial"/>
                <w:b w:val="0"/>
                <w:sz w:val="20"/>
              </w:rPr>
              <w:t xml:space="preserve"> </w:t>
            </w:r>
            <w:r w:rsidR="00F234E7">
              <w:rPr>
                <w:rFonts w:cs="Arial"/>
                <w:b w:val="0"/>
                <w:sz w:val="20"/>
              </w:rPr>
              <w:t>in the following should be identified with an asterisks</w:t>
            </w:r>
            <w:r w:rsidR="006C4BA4">
              <w:rPr>
                <w:rFonts w:cs="Arial"/>
                <w:b w:val="0"/>
                <w:sz w:val="20"/>
              </w:rPr>
              <w:t>:</w:t>
            </w:r>
          </w:p>
          <w:p w14:paraId="65EB9111" w14:textId="285EDD81" w:rsidR="00F234E7" w:rsidRPr="00F234E7" w:rsidRDefault="00FF2311" w:rsidP="00F234E7">
            <w:pPr>
              <w:pStyle w:val="ListParagraph"/>
              <w:numPr>
                <w:ilvl w:val="0"/>
                <w:numId w:val="54"/>
              </w:numPr>
              <w:rPr>
                <w:rFonts w:cs="Arial"/>
                <w:b w:val="0"/>
                <w:sz w:val="20"/>
              </w:rPr>
            </w:pPr>
            <w:r>
              <w:rPr>
                <w:rFonts w:cs="Arial"/>
                <w:b w:val="0"/>
                <w:sz w:val="20"/>
              </w:rPr>
              <w:t>Paragraph</w:t>
            </w:r>
            <w:r w:rsidRPr="00F234E7">
              <w:rPr>
                <w:rFonts w:cs="Arial"/>
                <w:b w:val="0"/>
                <w:sz w:val="20"/>
              </w:rPr>
              <w:t xml:space="preserve"> </w:t>
            </w:r>
            <w:r w:rsidR="00F234E7" w:rsidRPr="00F234E7">
              <w:rPr>
                <w:rFonts w:cs="Arial"/>
                <w:b w:val="0"/>
                <w:sz w:val="20"/>
              </w:rPr>
              <w:t>1.2.10</w:t>
            </w:r>
            <w:r w:rsidR="00F234E7" w:rsidRPr="00F234E7">
              <w:rPr>
                <w:b w:val="0"/>
                <w:sz w:val="20"/>
                <w:szCs w:val="20"/>
              </w:rPr>
              <w:t>—3(3)(c)</w:t>
            </w:r>
            <w:r w:rsidR="00F234E7">
              <w:rPr>
                <w:b w:val="0"/>
                <w:sz w:val="20"/>
                <w:szCs w:val="20"/>
              </w:rPr>
              <w:t>;</w:t>
            </w:r>
          </w:p>
          <w:p w14:paraId="50DD69BB" w14:textId="162085D8" w:rsidR="00F234E7" w:rsidRPr="00F234E7" w:rsidRDefault="00FF2311" w:rsidP="00F234E7">
            <w:pPr>
              <w:pStyle w:val="ListParagraph"/>
              <w:numPr>
                <w:ilvl w:val="0"/>
                <w:numId w:val="54"/>
              </w:numPr>
              <w:rPr>
                <w:rFonts w:cs="Arial"/>
                <w:b w:val="0"/>
                <w:sz w:val="20"/>
              </w:rPr>
            </w:pPr>
            <w:r>
              <w:rPr>
                <w:rFonts w:cs="Arial"/>
                <w:b w:val="0"/>
                <w:sz w:val="20"/>
              </w:rPr>
              <w:t>Paragraph</w:t>
            </w:r>
            <w:r w:rsidRPr="00F234E7">
              <w:rPr>
                <w:rFonts w:cs="Arial"/>
                <w:b w:val="0"/>
                <w:sz w:val="20"/>
              </w:rPr>
              <w:t xml:space="preserve"> </w:t>
            </w:r>
            <w:r w:rsidR="00F234E7" w:rsidRPr="00F234E7">
              <w:rPr>
                <w:b w:val="0"/>
                <w:sz w:val="20"/>
                <w:szCs w:val="20"/>
              </w:rPr>
              <w:t>1.2.10—5(1)(a)</w:t>
            </w:r>
            <w:r w:rsidR="00F234E7">
              <w:rPr>
                <w:b w:val="0"/>
                <w:sz w:val="20"/>
                <w:szCs w:val="20"/>
              </w:rPr>
              <w:t>;</w:t>
            </w:r>
            <w:r w:rsidR="00F234E7" w:rsidRPr="00F234E7">
              <w:rPr>
                <w:b w:val="0"/>
                <w:sz w:val="20"/>
                <w:szCs w:val="20"/>
              </w:rPr>
              <w:t xml:space="preserve"> and </w:t>
            </w:r>
          </w:p>
          <w:p w14:paraId="64EB8879" w14:textId="2F2EB7CB" w:rsidR="00F234E7" w:rsidRDefault="00C54532" w:rsidP="00F234E7">
            <w:pPr>
              <w:pStyle w:val="ListParagraph"/>
              <w:numPr>
                <w:ilvl w:val="0"/>
                <w:numId w:val="54"/>
              </w:numPr>
              <w:rPr>
                <w:rFonts w:cs="Arial"/>
                <w:b w:val="0"/>
                <w:sz w:val="20"/>
              </w:rPr>
            </w:pPr>
            <w:r>
              <w:rPr>
                <w:b w:val="0"/>
                <w:sz w:val="20"/>
                <w:szCs w:val="20"/>
              </w:rPr>
              <w:t xml:space="preserve">possibly in the title of </w:t>
            </w:r>
            <w:r w:rsidR="00F234E7">
              <w:rPr>
                <w:b w:val="0"/>
                <w:sz w:val="20"/>
                <w:szCs w:val="20"/>
              </w:rPr>
              <w:t>Schedule 13</w:t>
            </w:r>
            <w:r w:rsidR="00F234E7" w:rsidRPr="00F234E7">
              <w:rPr>
                <w:rFonts w:cs="Arial"/>
                <w:b w:val="0"/>
                <w:sz w:val="20"/>
              </w:rPr>
              <w:t>.</w:t>
            </w:r>
          </w:p>
          <w:p w14:paraId="05A3EABF" w14:textId="7D73F784" w:rsidR="00357952" w:rsidRPr="00F234E7" w:rsidRDefault="00357952" w:rsidP="00F234E7">
            <w:pPr>
              <w:rPr>
                <w:rFonts w:cs="Arial"/>
                <w:sz w:val="20"/>
              </w:rPr>
            </w:pPr>
          </w:p>
        </w:tc>
        <w:tc>
          <w:tcPr>
            <w:tcW w:w="1803" w:type="dxa"/>
          </w:tcPr>
          <w:p w14:paraId="7C71589C" w14:textId="24D22057" w:rsidR="00357952" w:rsidRPr="00FC2921" w:rsidRDefault="00E37345" w:rsidP="00CE1368">
            <w:pPr>
              <w:cnfStyle w:val="000000100000" w:firstRow="0" w:lastRow="0" w:firstColumn="0" w:lastColumn="0" w:oddVBand="0" w:evenVBand="0" w:oddHBand="1" w:evenHBand="0" w:firstRowFirstColumn="0" w:firstRowLastColumn="0" w:lastRowFirstColumn="0" w:lastRowLastColumn="0"/>
              <w:rPr>
                <w:rFonts w:cs="Arial"/>
                <w:b/>
                <w:sz w:val="20"/>
              </w:rPr>
            </w:pPr>
            <w:r w:rsidRPr="00E37345">
              <w:rPr>
                <w:rFonts w:cs="Arial"/>
                <w:sz w:val="20"/>
              </w:rPr>
              <w:lastRenderedPageBreak/>
              <w:t xml:space="preserve">New Zealand Food and </w:t>
            </w:r>
            <w:r w:rsidRPr="00E37345">
              <w:rPr>
                <w:rFonts w:cs="Arial"/>
                <w:sz w:val="20"/>
              </w:rPr>
              <w:lastRenderedPageBreak/>
              <w:t>Grocery Council</w:t>
            </w:r>
          </w:p>
        </w:tc>
        <w:tc>
          <w:tcPr>
            <w:tcW w:w="3011" w:type="dxa"/>
          </w:tcPr>
          <w:p w14:paraId="2884B539" w14:textId="1B12F5D6" w:rsidR="00FF2311" w:rsidRPr="007B2017" w:rsidRDefault="00FF2311" w:rsidP="007B2017">
            <w:pPr>
              <w:cnfStyle w:val="000000100000" w:firstRow="0" w:lastRow="0" w:firstColumn="0" w:lastColumn="0" w:oddVBand="0" w:evenVBand="0" w:oddHBand="1" w:evenHBand="0" w:firstRowFirstColumn="0" w:firstRowLastColumn="0" w:lastRowFirstColumn="0" w:lastRowLastColumn="0"/>
              <w:rPr>
                <w:sz w:val="20"/>
                <w:szCs w:val="20"/>
              </w:rPr>
            </w:pPr>
            <w:r w:rsidRPr="007B2017">
              <w:rPr>
                <w:sz w:val="20"/>
                <w:szCs w:val="20"/>
              </w:rPr>
              <w:lastRenderedPageBreak/>
              <w:t>Note</w:t>
            </w:r>
            <w:r>
              <w:rPr>
                <w:sz w:val="20"/>
                <w:szCs w:val="20"/>
              </w:rPr>
              <w:t>d</w:t>
            </w:r>
          </w:p>
          <w:p w14:paraId="731B4902" w14:textId="332E0F0B" w:rsidR="006234C3" w:rsidRPr="007B2017" w:rsidRDefault="006234C3" w:rsidP="007B2017">
            <w:pPr>
              <w:cnfStyle w:val="000000100000" w:firstRow="0" w:lastRow="0" w:firstColumn="0" w:lastColumn="0" w:oddVBand="0" w:evenVBand="0" w:oddHBand="1" w:evenHBand="0" w:firstRowFirstColumn="0" w:firstRowLastColumn="0" w:lastRowFirstColumn="0" w:lastRowLastColumn="0"/>
              <w:rPr>
                <w:sz w:val="20"/>
                <w:szCs w:val="20"/>
              </w:rPr>
            </w:pPr>
          </w:p>
          <w:p w14:paraId="6A8B0884" w14:textId="1AE282B4" w:rsidR="00FF2311" w:rsidRPr="00D56057" w:rsidRDefault="00915172" w:rsidP="007B2017">
            <w:pPr>
              <w:pStyle w:val="ListParagraph"/>
              <w:numPr>
                <w:ilvl w:val="0"/>
                <w:numId w:val="58"/>
              </w:numPr>
              <w:ind w:left="341"/>
              <w:cnfStyle w:val="000000100000" w:firstRow="0" w:lastRow="0" w:firstColumn="0" w:lastColumn="0" w:oddVBand="0" w:evenVBand="0" w:oddHBand="1" w:evenHBand="0" w:firstRowFirstColumn="0" w:firstRowLastColumn="0" w:lastRowFirstColumn="0" w:lastRowLastColumn="0"/>
              <w:rPr>
                <w:rFonts w:cs="Arial"/>
                <w:sz w:val="20"/>
              </w:rPr>
            </w:pPr>
            <w:r w:rsidRPr="007B2017">
              <w:rPr>
                <w:rFonts w:cs="Arial"/>
                <w:sz w:val="20"/>
              </w:rPr>
              <w:lastRenderedPageBreak/>
              <w:t>Agree</w:t>
            </w:r>
            <w:r w:rsidR="00FF2311">
              <w:rPr>
                <w:rFonts w:cs="Arial"/>
                <w:sz w:val="20"/>
              </w:rPr>
              <w:t xml:space="preserve">d. </w:t>
            </w:r>
            <w:r w:rsidR="00E847D8">
              <w:rPr>
                <w:rFonts w:cs="Arial"/>
                <w:sz w:val="20"/>
              </w:rPr>
              <w:t>See n</w:t>
            </w:r>
            <w:r w:rsidR="00763F4C" w:rsidRPr="007B2017">
              <w:rPr>
                <w:rFonts w:cs="Arial"/>
                <w:sz w:val="20"/>
              </w:rPr>
              <w:t>ew item [7</w:t>
            </w:r>
            <w:r w:rsidR="00C54532" w:rsidRPr="007B2017">
              <w:rPr>
                <w:rFonts w:cs="Arial"/>
                <w:sz w:val="20"/>
              </w:rPr>
              <w:t xml:space="preserve">] included in </w:t>
            </w:r>
            <w:r w:rsidR="00E847D8">
              <w:rPr>
                <w:rFonts w:cs="Arial"/>
                <w:sz w:val="20"/>
              </w:rPr>
              <w:t xml:space="preserve">the approved </w:t>
            </w:r>
            <w:r w:rsidR="00C54532" w:rsidRPr="007B2017">
              <w:rPr>
                <w:rFonts w:cs="Arial"/>
                <w:sz w:val="20"/>
              </w:rPr>
              <w:t>draft variation.</w:t>
            </w:r>
          </w:p>
          <w:p w14:paraId="6A74EADD" w14:textId="39434A92" w:rsidR="00FF2311" w:rsidRPr="00D56057" w:rsidRDefault="00FF2311" w:rsidP="007B2017">
            <w:pPr>
              <w:pStyle w:val="ListParagraph"/>
              <w:numPr>
                <w:ilvl w:val="0"/>
                <w:numId w:val="58"/>
              </w:numPr>
              <w:ind w:left="341"/>
              <w:cnfStyle w:val="000000100000" w:firstRow="0" w:lastRow="0" w:firstColumn="0" w:lastColumn="0" w:oddVBand="0" w:evenVBand="0" w:oddHBand="1" w:evenHBand="0" w:firstRowFirstColumn="0" w:firstRowLastColumn="0" w:lastRowFirstColumn="0" w:lastRowLastColumn="0"/>
              <w:rPr>
                <w:rFonts w:cs="Arial"/>
                <w:sz w:val="20"/>
              </w:rPr>
            </w:pPr>
            <w:r>
              <w:rPr>
                <w:bCs/>
                <w:sz w:val="20"/>
                <w:szCs w:val="20"/>
              </w:rPr>
              <w:t xml:space="preserve">Not agreed. </w:t>
            </w:r>
            <w:r w:rsidRPr="00AC54C9">
              <w:rPr>
                <w:bCs/>
                <w:sz w:val="20"/>
                <w:szCs w:val="20"/>
              </w:rPr>
              <w:t xml:space="preserve">There is no paragraph </w:t>
            </w:r>
            <w:r w:rsidRPr="007B2017">
              <w:rPr>
                <w:sz w:val="20"/>
                <w:szCs w:val="20"/>
              </w:rPr>
              <w:t>1.2.10—5(1)(a)</w:t>
            </w:r>
            <w:r w:rsidR="00A26268" w:rsidRPr="007B2017">
              <w:rPr>
                <w:bCs/>
                <w:sz w:val="20"/>
                <w:szCs w:val="20"/>
              </w:rPr>
              <w:t>.</w:t>
            </w:r>
          </w:p>
          <w:p w14:paraId="2361447D" w14:textId="45860722" w:rsidR="00357952" w:rsidRPr="00D56057" w:rsidRDefault="00FF2311" w:rsidP="007B2017">
            <w:pPr>
              <w:pStyle w:val="ListParagraph"/>
              <w:numPr>
                <w:ilvl w:val="0"/>
                <w:numId w:val="58"/>
              </w:numPr>
              <w:ind w:left="341"/>
              <w:cnfStyle w:val="000000100000" w:firstRow="0" w:lastRow="0" w:firstColumn="0" w:lastColumn="0" w:oddVBand="0" w:evenVBand="0" w:oddHBand="1" w:evenHBand="0" w:firstRowFirstColumn="0" w:firstRowLastColumn="0" w:lastRowFirstColumn="0" w:lastRowLastColumn="0"/>
              <w:rPr>
                <w:rFonts w:cs="Arial"/>
                <w:sz w:val="20"/>
              </w:rPr>
            </w:pPr>
            <w:r>
              <w:rPr>
                <w:bCs/>
                <w:sz w:val="20"/>
                <w:szCs w:val="20"/>
              </w:rPr>
              <w:t>Not agreed. A</w:t>
            </w:r>
            <w:r w:rsidRPr="008415AB">
              <w:rPr>
                <w:bCs/>
                <w:sz w:val="20"/>
                <w:szCs w:val="20"/>
              </w:rPr>
              <w:t>sterisks</w:t>
            </w:r>
            <w:r w:rsidRPr="00AC54C9">
              <w:rPr>
                <w:bCs/>
                <w:sz w:val="20"/>
                <w:szCs w:val="20"/>
              </w:rPr>
              <w:t xml:space="preserve"> </w:t>
            </w:r>
            <w:r>
              <w:rPr>
                <w:bCs/>
                <w:sz w:val="20"/>
                <w:szCs w:val="20"/>
              </w:rPr>
              <w:t>are not used in Standard titles</w:t>
            </w:r>
            <w:r w:rsidR="00C54532" w:rsidRPr="007B2017">
              <w:rPr>
                <w:bCs/>
                <w:sz w:val="20"/>
                <w:szCs w:val="20"/>
              </w:rPr>
              <w:t>.</w:t>
            </w:r>
            <w:r w:rsidR="00907581" w:rsidRPr="00D56057">
              <w:rPr>
                <w:bCs/>
                <w:sz w:val="20"/>
                <w:szCs w:val="20"/>
              </w:rPr>
              <w:br/>
            </w:r>
          </w:p>
        </w:tc>
      </w:tr>
      <w:tr w:rsidR="00E37345" w:rsidRPr="009A40E5" w14:paraId="4D5F8E5E" w14:textId="77777777" w:rsidTr="00B813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2085A530" w14:textId="0BBB4EFD" w:rsidR="00E847D8" w:rsidRDefault="00E847D8" w:rsidP="00E847D8">
            <w:pPr>
              <w:rPr>
                <w:rFonts w:cs="Arial"/>
                <w:b w:val="0"/>
                <w:sz w:val="20"/>
              </w:rPr>
            </w:pPr>
            <w:r>
              <w:rPr>
                <w:rFonts w:cs="Arial"/>
                <w:b w:val="0"/>
                <w:sz w:val="20"/>
              </w:rPr>
              <w:lastRenderedPageBreak/>
              <w:t xml:space="preserve">Amendment made by Item [9] of the Schedule of the draft variation </w:t>
            </w:r>
          </w:p>
          <w:p w14:paraId="157C1223" w14:textId="77777777" w:rsidR="00161B93" w:rsidRDefault="00161B93" w:rsidP="00CE1368">
            <w:pPr>
              <w:rPr>
                <w:rFonts w:cs="Arial"/>
                <w:b w:val="0"/>
                <w:sz w:val="20"/>
              </w:rPr>
            </w:pPr>
          </w:p>
          <w:p w14:paraId="24714746" w14:textId="77777777" w:rsidR="00E847D8" w:rsidRDefault="00E847D8" w:rsidP="00E847D8">
            <w:pPr>
              <w:rPr>
                <w:rFonts w:cs="Arial"/>
                <w:b w:val="0"/>
                <w:sz w:val="20"/>
              </w:rPr>
            </w:pPr>
            <w:r>
              <w:rPr>
                <w:rFonts w:cs="Arial"/>
                <w:b w:val="0"/>
                <w:sz w:val="20"/>
              </w:rPr>
              <w:t>Supports the draft amendment</w:t>
            </w:r>
          </w:p>
          <w:p w14:paraId="0DAD9C68" w14:textId="77777777" w:rsidR="00E847D8" w:rsidRDefault="00E847D8" w:rsidP="00E847D8">
            <w:pPr>
              <w:rPr>
                <w:rFonts w:cs="Arial"/>
                <w:b w:val="0"/>
                <w:sz w:val="20"/>
              </w:rPr>
            </w:pPr>
          </w:p>
          <w:p w14:paraId="5B0F20EB" w14:textId="457A9226" w:rsidR="00E37345" w:rsidRDefault="004D5CD4" w:rsidP="00A06A9C">
            <w:pPr>
              <w:rPr>
                <w:rFonts w:cs="Arial"/>
                <w:b w:val="0"/>
                <w:sz w:val="20"/>
              </w:rPr>
            </w:pPr>
            <w:r>
              <w:rPr>
                <w:rFonts w:cs="Arial"/>
                <w:b w:val="0"/>
                <w:sz w:val="20"/>
              </w:rPr>
              <w:t xml:space="preserve">Item [9] </w:t>
            </w:r>
            <w:r w:rsidRPr="00D55703">
              <w:rPr>
                <w:rFonts w:cs="Arial"/>
                <w:b w:val="0"/>
                <w:sz w:val="20"/>
              </w:rPr>
              <w:t>amends s</w:t>
            </w:r>
            <w:r w:rsidR="00F56E84" w:rsidRPr="00D55703">
              <w:rPr>
                <w:rFonts w:cs="Arial"/>
                <w:b w:val="0"/>
                <w:sz w:val="20"/>
              </w:rPr>
              <w:t>ubsection</w:t>
            </w:r>
            <w:r w:rsidR="00F56E84" w:rsidRPr="00A06A9C">
              <w:rPr>
                <w:rFonts w:cs="Arial"/>
                <w:b w:val="0"/>
                <w:sz w:val="20"/>
              </w:rPr>
              <w:t xml:space="preserve"> S11—4(</w:t>
            </w:r>
            <w:r w:rsidR="00F56E84">
              <w:rPr>
                <w:rFonts w:cs="Arial"/>
                <w:b w:val="0"/>
                <w:sz w:val="20"/>
              </w:rPr>
              <w:t>2</w:t>
            </w:r>
            <w:r w:rsidRPr="004D5CD4">
              <w:rPr>
                <w:rFonts w:cs="Arial"/>
                <w:sz w:val="20"/>
              </w:rPr>
              <w:t>)</w:t>
            </w:r>
            <w:r>
              <w:rPr>
                <w:rFonts w:cs="Arial"/>
                <w:b w:val="0"/>
                <w:sz w:val="20"/>
              </w:rPr>
              <w:t>. The Call For Submission</w:t>
            </w:r>
            <w:r w:rsidR="0051188B">
              <w:rPr>
                <w:rFonts w:cs="Arial"/>
                <w:b w:val="0"/>
                <w:sz w:val="20"/>
              </w:rPr>
              <w:t>s</w:t>
            </w:r>
            <w:r>
              <w:rPr>
                <w:rFonts w:cs="Arial"/>
                <w:b w:val="0"/>
                <w:sz w:val="20"/>
              </w:rPr>
              <w:t xml:space="preserve"> explained that the purpose of the amendment is to </w:t>
            </w:r>
            <w:r w:rsidR="00F56E84">
              <w:rPr>
                <w:rFonts w:cs="Arial"/>
                <w:b w:val="0"/>
                <w:sz w:val="20"/>
              </w:rPr>
              <w:t>insert</w:t>
            </w:r>
            <w:r>
              <w:rPr>
                <w:rFonts w:cs="Arial"/>
                <w:b w:val="0"/>
                <w:sz w:val="20"/>
              </w:rPr>
              <w:t xml:space="preserve"> an asterisk and to replace the reference to “named fibre” with “named dietary fibre”</w:t>
            </w:r>
            <w:r w:rsidR="00317E70">
              <w:rPr>
                <w:rFonts w:cs="Arial"/>
                <w:b w:val="0"/>
                <w:sz w:val="20"/>
              </w:rPr>
              <w:t>. The</w:t>
            </w:r>
            <w:r>
              <w:rPr>
                <w:rFonts w:cs="Arial"/>
                <w:b w:val="0"/>
                <w:sz w:val="20"/>
              </w:rPr>
              <w:t xml:space="preserve"> second amendment </w:t>
            </w:r>
            <w:r w:rsidR="008470A2">
              <w:rPr>
                <w:rFonts w:cs="Arial"/>
                <w:b w:val="0"/>
                <w:sz w:val="20"/>
              </w:rPr>
              <w:t>is</w:t>
            </w:r>
            <w:r w:rsidR="00007907">
              <w:rPr>
                <w:rFonts w:cs="Arial"/>
                <w:b w:val="0"/>
                <w:sz w:val="20"/>
              </w:rPr>
              <w:t xml:space="preserve"> not reflected</w:t>
            </w:r>
            <w:r w:rsidR="00F21F67">
              <w:rPr>
                <w:rFonts w:cs="Arial"/>
                <w:b w:val="0"/>
                <w:sz w:val="20"/>
              </w:rPr>
              <w:t xml:space="preserve"> in the draft variation.</w:t>
            </w:r>
            <w:r w:rsidR="00F21F67">
              <w:rPr>
                <w:rFonts w:cs="Arial"/>
                <w:b w:val="0"/>
                <w:sz w:val="20"/>
              </w:rPr>
              <w:br/>
            </w:r>
          </w:p>
        </w:tc>
        <w:tc>
          <w:tcPr>
            <w:tcW w:w="1803" w:type="dxa"/>
          </w:tcPr>
          <w:p w14:paraId="6E6EC1B1" w14:textId="086AD339" w:rsidR="00E37345" w:rsidRPr="00F21F67" w:rsidRDefault="00F21F67" w:rsidP="00CE1368">
            <w:pPr>
              <w:cnfStyle w:val="000000010000" w:firstRow="0" w:lastRow="0" w:firstColumn="0" w:lastColumn="0" w:oddVBand="0" w:evenVBand="0" w:oddHBand="0" w:evenHBand="1" w:firstRowFirstColumn="0" w:firstRowLastColumn="0" w:lastRowFirstColumn="0" w:lastRowLastColumn="0"/>
              <w:rPr>
                <w:rFonts w:cs="Arial"/>
                <w:sz w:val="20"/>
              </w:rPr>
            </w:pPr>
            <w:r w:rsidRPr="00F21F67">
              <w:rPr>
                <w:rFonts w:cs="Arial"/>
                <w:sz w:val="20"/>
              </w:rPr>
              <w:t>New Zealand Food Safety (New Zealand Ministry for Primary Industries)</w:t>
            </w:r>
            <w:r w:rsidR="002F7678">
              <w:rPr>
                <w:rFonts w:cs="Arial"/>
                <w:sz w:val="20"/>
              </w:rPr>
              <w:br/>
            </w:r>
          </w:p>
        </w:tc>
        <w:tc>
          <w:tcPr>
            <w:tcW w:w="3011" w:type="dxa"/>
          </w:tcPr>
          <w:p w14:paraId="093D866C" w14:textId="35AD5E09" w:rsidR="00317E70" w:rsidRDefault="00E847D8" w:rsidP="00AC54C9">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Noted</w:t>
            </w:r>
            <w:r w:rsidR="00D1307A">
              <w:rPr>
                <w:rFonts w:cs="Arial"/>
                <w:sz w:val="20"/>
              </w:rPr>
              <w:br/>
            </w:r>
            <w:r w:rsidR="00D1307A">
              <w:rPr>
                <w:rFonts w:cs="Arial"/>
                <w:sz w:val="20"/>
              </w:rPr>
              <w:br/>
            </w:r>
            <w:r w:rsidR="004D5CD4">
              <w:rPr>
                <w:rFonts w:cs="Arial"/>
                <w:sz w:val="20"/>
              </w:rPr>
              <w:t>The Call for Submission</w:t>
            </w:r>
            <w:r w:rsidR="00317E70">
              <w:rPr>
                <w:rFonts w:cs="Arial"/>
                <w:sz w:val="20"/>
              </w:rPr>
              <w:t>s</w:t>
            </w:r>
            <w:r w:rsidR="0051188B">
              <w:rPr>
                <w:rFonts w:cs="Arial"/>
                <w:sz w:val="20"/>
              </w:rPr>
              <w:t>’</w:t>
            </w:r>
            <w:r w:rsidR="00317E70">
              <w:rPr>
                <w:rFonts w:cs="Arial"/>
                <w:sz w:val="20"/>
              </w:rPr>
              <w:t xml:space="preserve"> reference</w:t>
            </w:r>
            <w:r w:rsidR="004D5CD4">
              <w:rPr>
                <w:rFonts w:cs="Arial"/>
                <w:sz w:val="20"/>
              </w:rPr>
              <w:t xml:space="preserve"> to the second amendment was an error.  </w:t>
            </w:r>
            <w:r w:rsidR="00317E70">
              <w:rPr>
                <w:rFonts w:cs="Arial"/>
                <w:sz w:val="20"/>
              </w:rPr>
              <w:br/>
            </w:r>
            <w:r w:rsidR="00317E70">
              <w:rPr>
                <w:rFonts w:cs="Arial"/>
                <w:sz w:val="20"/>
              </w:rPr>
              <w:br/>
              <w:t>Prior to the issue of the Call for Submission</w:t>
            </w:r>
            <w:r w:rsidR="0051188B">
              <w:rPr>
                <w:rFonts w:cs="Arial"/>
                <w:sz w:val="20"/>
              </w:rPr>
              <w:t>s</w:t>
            </w:r>
            <w:r w:rsidR="00317E70">
              <w:rPr>
                <w:rFonts w:cs="Arial"/>
                <w:sz w:val="20"/>
              </w:rPr>
              <w:t xml:space="preserve">, the second amendment was removed from the draft variation. </w:t>
            </w:r>
          </w:p>
          <w:p w14:paraId="56B8F62D" w14:textId="77777777" w:rsidR="00317E70" w:rsidRDefault="00317E70" w:rsidP="00AC54C9">
            <w:pPr>
              <w:cnfStyle w:val="000000010000" w:firstRow="0" w:lastRow="0" w:firstColumn="0" w:lastColumn="0" w:oddVBand="0" w:evenVBand="0" w:oddHBand="0" w:evenHBand="1" w:firstRowFirstColumn="0" w:firstRowLastColumn="0" w:lastRowFirstColumn="0" w:lastRowLastColumn="0"/>
              <w:rPr>
                <w:rFonts w:cs="Arial"/>
                <w:sz w:val="20"/>
              </w:rPr>
            </w:pPr>
          </w:p>
          <w:p w14:paraId="2FB347C3" w14:textId="6AF646EF" w:rsidR="00317E70" w:rsidRDefault="00317E70" w:rsidP="00AC54C9">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This was because the reference in s</w:t>
            </w:r>
            <w:r w:rsidR="00F56E84">
              <w:rPr>
                <w:rFonts w:cs="Arial"/>
                <w:sz w:val="20"/>
              </w:rPr>
              <w:t>ubsection S11—4(2</w:t>
            </w:r>
            <w:r w:rsidRPr="00D1307A">
              <w:rPr>
                <w:rFonts w:cs="Arial"/>
                <w:sz w:val="20"/>
              </w:rPr>
              <w:t xml:space="preserve">) </w:t>
            </w:r>
            <w:r>
              <w:rPr>
                <w:rFonts w:cs="Arial"/>
                <w:sz w:val="20"/>
              </w:rPr>
              <w:t xml:space="preserve">to ‘named fibre’ can only be to a named dietary fibre.  </w:t>
            </w:r>
          </w:p>
          <w:p w14:paraId="6E8EA193" w14:textId="77777777" w:rsidR="00317E70" w:rsidRDefault="00317E70" w:rsidP="00AC54C9">
            <w:pPr>
              <w:cnfStyle w:val="000000010000" w:firstRow="0" w:lastRow="0" w:firstColumn="0" w:lastColumn="0" w:oddVBand="0" w:evenVBand="0" w:oddHBand="0" w:evenHBand="1" w:firstRowFirstColumn="0" w:firstRowLastColumn="0" w:lastRowFirstColumn="0" w:lastRowLastColumn="0"/>
              <w:rPr>
                <w:rFonts w:cs="Arial"/>
                <w:sz w:val="20"/>
              </w:rPr>
            </w:pPr>
          </w:p>
          <w:p w14:paraId="3A961F4D" w14:textId="07599070" w:rsidR="004D5CD4" w:rsidRDefault="00317E70" w:rsidP="00AC54C9">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That is, s</w:t>
            </w:r>
            <w:r w:rsidR="00D1307A" w:rsidRPr="00D1307A">
              <w:rPr>
                <w:rFonts w:cs="Arial"/>
                <w:sz w:val="20"/>
              </w:rPr>
              <w:t>ubsection S11—4(1) states that s</w:t>
            </w:r>
            <w:r w:rsidR="00F56E84">
              <w:rPr>
                <w:rFonts w:cs="Arial"/>
                <w:sz w:val="20"/>
              </w:rPr>
              <w:t>ubs</w:t>
            </w:r>
            <w:r w:rsidR="00D1307A" w:rsidRPr="00D1307A">
              <w:rPr>
                <w:rFonts w:cs="Arial"/>
                <w:sz w:val="20"/>
              </w:rPr>
              <w:t>ection S11—4</w:t>
            </w:r>
            <w:r w:rsidR="00F56E84">
              <w:rPr>
                <w:rFonts w:cs="Arial"/>
                <w:sz w:val="20"/>
              </w:rPr>
              <w:t>(2)</w:t>
            </w:r>
            <w:r w:rsidR="00D1307A" w:rsidRPr="00D1307A">
              <w:rPr>
                <w:rFonts w:cs="Arial"/>
                <w:sz w:val="20"/>
              </w:rPr>
              <w:t xml:space="preserve"> applies only for the purposes of subsection 1.2.8—7(7) and section S5—6(2). </w:t>
            </w:r>
            <w:r w:rsidR="00D1307A">
              <w:rPr>
                <w:rFonts w:cs="Arial"/>
                <w:sz w:val="20"/>
              </w:rPr>
              <w:t xml:space="preserve">  </w:t>
            </w:r>
            <w:r w:rsidR="00D1307A" w:rsidRPr="00D1307A">
              <w:rPr>
                <w:rFonts w:cs="Arial"/>
                <w:sz w:val="20"/>
              </w:rPr>
              <w:t>Both those provisions impose requirements only in relation to dietary fibre.</w:t>
            </w:r>
          </w:p>
          <w:p w14:paraId="2A0999D7" w14:textId="5DD29457" w:rsidR="00E37345" w:rsidRPr="00F21F67" w:rsidRDefault="00E37345" w:rsidP="00AC54C9">
            <w:pPr>
              <w:cnfStyle w:val="000000010000" w:firstRow="0" w:lastRow="0" w:firstColumn="0" w:lastColumn="0" w:oddVBand="0" w:evenVBand="0" w:oddHBand="0" w:evenHBand="1" w:firstRowFirstColumn="0" w:firstRowLastColumn="0" w:lastRowFirstColumn="0" w:lastRowLastColumn="0"/>
              <w:rPr>
                <w:rFonts w:cs="Arial"/>
                <w:sz w:val="20"/>
              </w:rPr>
            </w:pPr>
          </w:p>
        </w:tc>
      </w:tr>
      <w:tr w:rsidR="00B50BA2" w:rsidRPr="009A40E5" w14:paraId="20330D9B" w14:textId="77777777" w:rsidTr="00B81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0B238BCF" w14:textId="77777777" w:rsidR="00E847D8" w:rsidRDefault="00E847D8" w:rsidP="00E847D8">
            <w:pPr>
              <w:rPr>
                <w:rFonts w:cs="Arial"/>
                <w:b w:val="0"/>
                <w:sz w:val="20"/>
              </w:rPr>
            </w:pPr>
            <w:r>
              <w:rPr>
                <w:rFonts w:cs="Arial"/>
                <w:b w:val="0"/>
                <w:sz w:val="20"/>
              </w:rPr>
              <w:t xml:space="preserve">Amendment made by Item [9] of the Schedule of the draft variation </w:t>
            </w:r>
          </w:p>
          <w:p w14:paraId="3A12E406" w14:textId="3F652FE1" w:rsidR="00E847D8" w:rsidRDefault="00E847D8" w:rsidP="00B50BA2">
            <w:pPr>
              <w:rPr>
                <w:rFonts w:cs="Arial"/>
                <w:b w:val="0"/>
                <w:sz w:val="20"/>
              </w:rPr>
            </w:pPr>
            <w:r w:rsidDel="00E847D8">
              <w:rPr>
                <w:rFonts w:cs="Arial"/>
                <w:b w:val="0"/>
                <w:sz w:val="20"/>
              </w:rPr>
              <w:t xml:space="preserve"> </w:t>
            </w:r>
          </w:p>
          <w:p w14:paraId="454B3314" w14:textId="168441ED" w:rsidR="00F56E84" w:rsidRDefault="00F56E84" w:rsidP="00B50BA2">
            <w:pPr>
              <w:rPr>
                <w:rFonts w:cs="Arial"/>
                <w:b w:val="0"/>
                <w:sz w:val="20"/>
              </w:rPr>
            </w:pPr>
            <w:r>
              <w:rPr>
                <w:rFonts w:cs="Arial"/>
                <w:b w:val="0"/>
                <w:sz w:val="20"/>
              </w:rPr>
              <w:t xml:space="preserve">Item [9] amends paragraphs </w:t>
            </w:r>
            <w:r w:rsidR="00B50BA2" w:rsidRPr="00F21F67">
              <w:rPr>
                <w:rFonts w:cs="Arial"/>
                <w:b w:val="0"/>
                <w:sz w:val="20"/>
              </w:rPr>
              <w:t>S11—4(2</w:t>
            </w:r>
            <w:r w:rsidR="00B50BA2">
              <w:rPr>
                <w:rFonts w:cs="Arial"/>
                <w:b w:val="0"/>
                <w:sz w:val="20"/>
              </w:rPr>
              <w:t>)</w:t>
            </w:r>
            <w:r w:rsidR="009B6D5B">
              <w:rPr>
                <w:rFonts w:cs="Arial"/>
                <w:b w:val="0"/>
                <w:sz w:val="20"/>
              </w:rPr>
              <w:t>(a) and (b)</w:t>
            </w:r>
            <w:r w:rsidR="00B50BA2">
              <w:rPr>
                <w:rFonts w:cs="Arial"/>
                <w:b w:val="0"/>
                <w:sz w:val="20"/>
              </w:rPr>
              <w:t xml:space="preserve"> </w:t>
            </w:r>
            <w:r>
              <w:rPr>
                <w:rFonts w:cs="Arial"/>
                <w:b w:val="0"/>
                <w:sz w:val="20"/>
              </w:rPr>
              <w:t xml:space="preserve">by </w:t>
            </w:r>
            <w:r w:rsidR="00B50BA2">
              <w:rPr>
                <w:rFonts w:cs="Arial"/>
                <w:b w:val="0"/>
                <w:sz w:val="20"/>
              </w:rPr>
              <w:t>replac</w:t>
            </w:r>
            <w:r>
              <w:rPr>
                <w:rFonts w:cs="Arial"/>
                <w:b w:val="0"/>
                <w:sz w:val="20"/>
              </w:rPr>
              <w:t>ing</w:t>
            </w:r>
            <w:r w:rsidR="00B50BA2">
              <w:rPr>
                <w:rFonts w:cs="Arial"/>
                <w:b w:val="0"/>
                <w:sz w:val="20"/>
              </w:rPr>
              <w:t xml:space="preserve"> “total dietary fibre” with “dietary fibre”</w:t>
            </w:r>
            <w:r>
              <w:rPr>
                <w:rFonts w:cs="Arial"/>
                <w:b w:val="0"/>
                <w:sz w:val="20"/>
              </w:rPr>
              <w:t xml:space="preserve">. </w:t>
            </w:r>
          </w:p>
          <w:p w14:paraId="5B8F66BF" w14:textId="77777777" w:rsidR="00F56E84" w:rsidRDefault="00F56E84" w:rsidP="00B50BA2">
            <w:pPr>
              <w:rPr>
                <w:rFonts w:cs="Arial"/>
                <w:b w:val="0"/>
                <w:sz w:val="20"/>
              </w:rPr>
            </w:pPr>
          </w:p>
          <w:p w14:paraId="78EB62B3" w14:textId="3EC501BF" w:rsidR="00B22C5F" w:rsidRPr="00BC44C0" w:rsidRDefault="00F56E84" w:rsidP="00A06A9C">
            <w:pPr>
              <w:rPr>
                <w:rFonts w:cs="Arial"/>
                <w:b w:val="0"/>
                <w:bCs w:val="0"/>
              </w:rPr>
            </w:pPr>
            <w:r>
              <w:rPr>
                <w:rFonts w:cs="Arial"/>
                <w:b w:val="0"/>
                <w:sz w:val="20"/>
              </w:rPr>
              <w:t>The Call For Submission</w:t>
            </w:r>
            <w:r w:rsidR="0051188B">
              <w:rPr>
                <w:rFonts w:cs="Arial"/>
                <w:b w:val="0"/>
                <w:sz w:val="20"/>
              </w:rPr>
              <w:t>s</w:t>
            </w:r>
            <w:r>
              <w:rPr>
                <w:rFonts w:cs="Arial"/>
                <w:b w:val="0"/>
                <w:sz w:val="20"/>
              </w:rPr>
              <w:t xml:space="preserve"> </w:t>
            </w:r>
            <w:r w:rsidR="00B22C5F">
              <w:rPr>
                <w:rFonts w:cs="Arial"/>
                <w:b w:val="0"/>
                <w:sz w:val="20"/>
              </w:rPr>
              <w:t>explained</w:t>
            </w:r>
            <w:r>
              <w:rPr>
                <w:rFonts w:cs="Arial"/>
                <w:b w:val="0"/>
                <w:sz w:val="20"/>
              </w:rPr>
              <w:t xml:space="preserve"> that </w:t>
            </w:r>
            <w:r w:rsidR="002C33AA">
              <w:rPr>
                <w:rFonts w:cs="Arial"/>
                <w:b w:val="0"/>
                <w:sz w:val="20"/>
              </w:rPr>
              <w:t>the purpose of this</w:t>
            </w:r>
            <w:r w:rsidR="00B22C5F">
              <w:rPr>
                <w:rFonts w:cs="Arial"/>
                <w:b w:val="0"/>
                <w:sz w:val="20"/>
              </w:rPr>
              <w:t xml:space="preserve"> amendment was to </w:t>
            </w:r>
          </w:p>
          <w:p w14:paraId="62DE23A1" w14:textId="7706A730" w:rsidR="00F56E84" w:rsidRPr="00A06A9C" w:rsidRDefault="00F56E84" w:rsidP="00B50BA2">
            <w:pPr>
              <w:rPr>
                <w:rFonts w:cs="Arial"/>
                <w:b w:val="0"/>
                <w:sz w:val="20"/>
                <w:szCs w:val="20"/>
              </w:rPr>
            </w:pPr>
            <w:r w:rsidRPr="00D56057">
              <w:rPr>
                <w:rFonts w:cs="Arial"/>
                <w:sz w:val="20"/>
                <w:szCs w:val="20"/>
              </w:rPr>
              <w:t xml:space="preserve">be consistent with the Codex definition of dietary fibre and the related </w:t>
            </w:r>
            <w:r w:rsidR="00B22C5F" w:rsidRPr="00B81A88">
              <w:rPr>
                <w:rFonts w:cs="Arial"/>
                <w:sz w:val="20"/>
                <w:szCs w:val="20"/>
              </w:rPr>
              <w:t xml:space="preserve">Codex </w:t>
            </w:r>
            <w:r w:rsidRPr="00D56057">
              <w:rPr>
                <w:rFonts w:cs="Arial"/>
                <w:sz w:val="20"/>
                <w:szCs w:val="20"/>
              </w:rPr>
              <w:t xml:space="preserve">standard for </w:t>
            </w:r>
            <w:r w:rsidRPr="00D56057">
              <w:rPr>
                <w:sz w:val="20"/>
                <w:szCs w:val="20"/>
              </w:rPr>
              <w:t xml:space="preserve">recommended </w:t>
            </w:r>
            <w:r w:rsidR="00B22C5F" w:rsidRPr="00A06A9C">
              <w:rPr>
                <w:b w:val="0"/>
                <w:sz w:val="20"/>
                <w:szCs w:val="20"/>
              </w:rPr>
              <w:t>methods of analysis and samplin</w:t>
            </w:r>
            <w:r w:rsidR="00B22C5F">
              <w:rPr>
                <w:b w:val="0"/>
                <w:sz w:val="20"/>
                <w:szCs w:val="20"/>
              </w:rPr>
              <w:t>g</w:t>
            </w:r>
            <w:r w:rsidRPr="00D56057">
              <w:rPr>
                <w:rFonts w:cs="Arial"/>
                <w:sz w:val="20"/>
                <w:szCs w:val="20"/>
              </w:rPr>
              <w:t>.</w:t>
            </w:r>
          </w:p>
          <w:p w14:paraId="75CF3F4F" w14:textId="77777777" w:rsidR="00F56E84" w:rsidRDefault="00F56E84" w:rsidP="00B50BA2">
            <w:pPr>
              <w:rPr>
                <w:rFonts w:cs="Arial"/>
                <w:b w:val="0"/>
                <w:sz w:val="20"/>
              </w:rPr>
            </w:pPr>
          </w:p>
          <w:p w14:paraId="43BF4176" w14:textId="54ED9952" w:rsidR="00B50BA2" w:rsidRPr="008470A2" w:rsidRDefault="00B22C5F" w:rsidP="00B50BA2">
            <w:pPr>
              <w:rPr>
                <w:rFonts w:cs="Arial"/>
                <w:b w:val="0"/>
                <w:sz w:val="20"/>
              </w:rPr>
            </w:pPr>
            <w:r>
              <w:rPr>
                <w:rFonts w:cs="Arial"/>
                <w:b w:val="0"/>
                <w:sz w:val="20"/>
              </w:rPr>
              <w:t>M</w:t>
            </w:r>
            <w:r w:rsidR="003802F8">
              <w:rPr>
                <w:rFonts w:cs="Arial"/>
                <w:b w:val="0"/>
                <w:sz w:val="20"/>
              </w:rPr>
              <w:t>PI</w:t>
            </w:r>
            <w:r>
              <w:rPr>
                <w:rFonts w:cs="Arial"/>
                <w:b w:val="0"/>
                <w:sz w:val="20"/>
              </w:rPr>
              <w:t xml:space="preserve"> </w:t>
            </w:r>
            <w:r w:rsidR="003802F8">
              <w:rPr>
                <w:rFonts w:cs="Arial"/>
                <w:b w:val="0"/>
                <w:sz w:val="20"/>
              </w:rPr>
              <w:t>does</w:t>
            </w:r>
            <w:r>
              <w:rPr>
                <w:rFonts w:cs="Arial"/>
                <w:b w:val="0"/>
                <w:sz w:val="20"/>
              </w:rPr>
              <w:t xml:space="preserve"> not support </w:t>
            </w:r>
            <w:r w:rsidR="003802F8">
              <w:rPr>
                <w:rFonts w:cs="Arial"/>
                <w:b w:val="0"/>
                <w:sz w:val="20"/>
              </w:rPr>
              <w:t>this</w:t>
            </w:r>
            <w:r>
              <w:rPr>
                <w:rFonts w:cs="Arial"/>
                <w:b w:val="0"/>
                <w:sz w:val="20"/>
              </w:rPr>
              <w:t xml:space="preserve"> amendment as </w:t>
            </w:r>
            <w:r w:rsidR="00D53725">
              <w:rPr>
                <w:rFonts w:cs="Arial"/>
                <w:b w:val="0"/>
                <w:sz w:val="20"/>
              </w:rPr>
              <w:t>MPI</w:t>
            </w:r>
            <w:r w:rsidR="002C33AA">
              <w:rPr>
                <w:rFonts w:cs="Arial"/>
                <w:b w:val="0"/>
                <w:sz w:val="20"/>
              </w:rPr>
              <w:t xml:space="preserve"> considers the above</w:t>
            </w:r>
            <w:r w:rsidR="003802F8">
              <w:rPr>
                <w:rFonts w:cs="Arial"/>
                <w:b w:val="0"/>
                <w:sz w:val="20"/>
              </w:rPr>
              <w:t xml:space="preserve"> </w:t>
            </w:r>
            <w:r w:rsidR="00F56E84">
              <w:rPr>
                <w:rFonts w:cs="Arial"/>
                <w:b w:val="0"/>
                <w:sz w:val="20"/>
              </w:rPr>
              <w:t xml:space="preserve">rationale </w:t>
            </w:r>
            <w:r w:rsidR="003802F8">
              <w:rPr>
                <w:rFonts w:cs="Arial"/>
                <w:b w:val="0"/>
                <w:sz w:val="20"/>
              </w:rPr>
              <w:t>i</w:t>
            </w:r>
            <w:r>
              <w:rPr>
                <w:rFonts w:cs="Arial"/>
                <w:b w:val="0"/>
                <w:sz w:val="20"/>
              </w:rPr>
              <w:t>s in</w:t>
            </w:r>
            <w:r w:rsidR="00B50BA2">
              <w:rPr>
                <w:rFonts w:cs="Arial"/>
                <w:b w:val="0"/>
                <w:sz w:val="20"/>
              </w:rPr>
              <w:t>sufficient</w:t>
            </w:r>
            <w:r>
              <w:rPr>
                <w:rFonts w:cs="Arial"/>
                <w:b w:val="0"/>
                <w:sz w:val="20"/>
              </w:rPr>
              <w:t xml:space="preserve"> because of the</w:t>
            </w:r>
            <w:r w:rsidR="00B50BA2">
              <w:rPr>
                <w:rFonts w:cs="Arial"/>
                <w:b w:val="0"/>
                <w:sz w:val="20"/>
              </w:rPr>
              <w:t xml:space="preserve"> following:</w:t>
            </w:r>
            <w:r>
              <w:rPr>
                <w:rFonts w:cs="Arial"/>
                <w:b w:val="0"/>
                <w:sz w:val="20"/>
              </w:rPr>
              <w:br/>
            </w:r>
          </w:p>
          <w:p w14:paraId="24F00AD5" w14:textId="03CD9498" w:rsidR="00B50BA2" w:rsidRDefault="00B22C5F" w:rsidP="00B50BA2">
            <w:pPr>
              <w:pStyle w:val="ListParagraph"/>
              <w:numPr>
                <w:ilvl w:val="0"/>
                <w:numId w:val="56"/>
              </w:numPr>
              <w:rPr>
                <w:rFonts w:cs="Arial"/>
                <w:b w:val="0"/>
                <w:sz w:val="20"/>
              </w:rPr>
            </w:pPr>
            <w:r>
              <w:rPr>
                <w:rFonts w:cs="Arial"/>
                <w:b w:val="0"/>
                <w:sz w:val="20"/>
              </w:rPr>
              <w:t xml:space="preserve">The paragraphs’ reference to “total dietary fibre”  </w:t>
            </w:r>
            <w:r w:rsidR="00B50BA2">
              <w:rPr>
                <w:rFonts w:cs="Arial"/>
                <w:b w:val="0"/>
                <w:sz w:val="20"/>
              </w:rPr>
              <w:t>is correct as the name of the AOAC method 985.29 or 991.43 includes the term “total”;</w:t>
            </w:r>
          </w:p>
          <w:p w14:paraId="067B96B1" w14:textId="748800E6" w:rsidR="00B50BA2" w:rsidRDefault="00B50BA2" w:rsidP="00B50BA2">
            <w:pPr>
              <w:pStyle w:val="ListParagraph"/>
              <w:numPr>
                <w:ilvl w:val="0"/>
                <w:numId w:val="56"/>
              </w:numPr>
              <w:rPr>
                <w:rFonts w:cs="Arial"/>
                <w:b w:val="0"/>
                <w:sz w:val="20"/>
              </w:rPr>
            </w:pPr>
            <w:r>
              <w:rPr>
                <w:rFonts w:cs="Arial"/>
                <w:b w:val="0"/>
                <w:sz w:val="20"/>
              </w:rPr>
              <w:lastRenderedPageBreak/>
              <w:t>The method does measure ‘total’ dietary fibre;</w:t>
            </w:r>
          </w:p>
          <w:p w14:paraId="13A6C8E7" w14:textId="5497902E" w:rsidR="00B50BA2" w:rsidRDefault="00B50BA2" w:rsidP="00B50BA2">
            <w:pPr>
              <w:pStyle w:val="ListParagraph"/>
              <w:numPr>
                <w:ilvl w:val="0"/>
                <w:numId w:val="56"/>
              </w:numPr>
              <w:rPr>
                <w:rFonts w:cs="Arial"/>
                <w:b w:val="0"/>
                <w:sz w:val="20"/>
              </w:rPr>
            </w:pPr>
            <w:r>
              <w:rPr>
                <w:rFonts w:cs="Arial"/>
                <w:b w:val="0"/>
                <w:sz w:val="20"/>
              </w:rPr>
              <w:t>Removing “total” will provide less clarity around the list of methods for Code users who already find this provision difficult;</w:t>
            </w:r>
          </w:p>
          <w:p w14:paraId="6D44210E" w14:textId="77777777" w:rsidR="00B50BA2" w:rsidRDefault="00B50BA2" w:rsidP="00B50BA2">
            <w:pPr>
              <w:pStyle w:val="ListParagraph"/>
              <w:numPr>
                <w:ilvl w:val="0"/>
                <w:numId w:val="56"/>
              </w:numPr>
              <w:rPr>
                <w:rFonts w:cs="Arial"/>
                <w:b w:val="0"/>
                <w:sz w:val="20"/>
              </w:rPr>
            </w:pPr>
            <w:r>
              <w:rPr>
                <w:rFonts w:cs="Arial"/>
                <w:b w:val="0"/>
                <w:sz w:val="20"/>
              </w:rPr>
              <w:t>The Codex definition of “dietary fibre” is not the same as its definition in the Code;</w:t>
            </w:r>
          </w:p>
          <w:p w14:paraId="36482E14" w14:textId="766378B2" w:rsidR="00B50BA2" w:rsidRPr="008470A2" w:rsidRDefault="00B50BA2" w:rsidP="00B50BA2">
            <w:pPr>
              <w:pStyle w:val="ListParagraph"/>
              <w:numPr>
                <w:ilvl w:val="0"/>
                <w:numId w:val="56"/>
              </w:numPr>
              <w:rPr>
                <w:rFonts w:cs="Arial"/>
                <w:b w:val="0"/>
                <w:sz w:val="20"/>
              </w:rPr>
            </w:pPr>
            <w:r>
              <w:rPr>
                <w:rFonts w:cs="Arial"/>
                <w:b w:val="0"/>
                <w:sz w:val="20"/>
              </w:rPr>
              <w:t>How “dietary fibre” is used in the Codex Guidelines on Nutrition Labelling CAC/GL 2-1985 is in relation to how it is declared on labels.  This is in contrast to subsection 11</w:t>
            </w:r>
            <w:r w:rsidRPr="00F21F67">
              <w:rPr>
                <w:rFonts w:cs="Arial"/>
                <w:b w:val="0"/>
                <w:sz w:val="20"/>
              </w:rPr>
              <w:t>—4(2</w:t>
            </w:r>
            <w:r>
              <w:rPr>
                <w:rFonts w:cs="Arial"/>
                <w:b w:val="0"/>
                <w:sz w:val="20"/>
              </w:rPr>
              <w:t>) relates to methods of analysis.</w:t>
            </w:r>
            <w:r>
              <w:rPr>
                <w:rFonts w:cs="Arial"/>
                <w:b w:val="0"/>
                <w:sz w:val="20"/>
              </w:rPr>
              <w:br/>
            </w:r>
          </w:p>
        </w:tc>
        <w:tc>
          <w:tcPr>
            <w:tcW w:w="1803" w:type="dxa"/>
          </w:tcPr>
          <w:p w14:paraId="0A1C8E0F" w14:textId="61F2A5A1" w:rsidR="00B50BA2" w:rsidRPr="00F21F67" w:rsidRDefault="00B50BA2" w:rsidP="00B50BA2">
            <w:pPr>
              <w:cnfStyle w:val="000000100000" w:firstRow="0" w:lastRow="0" w:firstColumn="0" w:lastColumn="0" w:oddVBand="0" w:evenVBand="0" w:oddHBand="1" w:evenHBand="0" w:firstRowFirstColumn="0" w:firstRowLastColumn="0" w:lastRowFirstColumn="0" w:lastRowLastColumn="0"/>
              <w:rPr>
                <w:rFonts w:cs="Arial"/>
                <w:sz w:val="20"/>
              </w:rPr>
            </w:pPr>
            <w:r w:rsidRPr="00F21F67">
              <w:rPr>
                <w:rFonts w:cs="Arial"/>
                <w:sz w:val="20"/>
              </w:rPr>
              <w:lastRenderedPageBreak/>
              <w:t>New Zealand Food Safety (New Zealand Ministry for Primary Industries)</w:t>
            </w:r>
            <w:r>
              <w:rPr>
                <w:rFonts w:cs="Arial"/>
                <w:sz w:val="20"/>
              </w:rPr>
              <w:br/>
            </w:r>
          </w:p>
        </w:tc>
        <w:tc>
          <w:tcPr>
            <w:tcW w:w="3011" w:type="dxa"/>
          </w:tcPr>
          <w:p w14:paraId="3975065C" w14:textId="482520AF" w:rsidR="003802F8" w:rsidRDefault="003802F8" w:rsidP="006544FB">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Noted.</w:t>
            </w:r>
          </w:p>
          <w:p w14:paraId="4A7628FD" w14:textId="77777777" w:rsidR="003802F8" w:rsidRDefault="003802F8" w:rsidP="006544FB">
            <w:pPr>
              <w:cnfStyle w:val="000000100000" w:firstRow="0" w:lastRow="0" w:firstColumn="0" w:lastColumn="0" w:oddVBand="0" w:evenVBand="0" w:oddHBand="1" w:evenHBand="0" w:firstRowFirstColumn="0" w:firstRowLastColumn="0" w:lastRowFirstColumn="0" w:lastRowLastColumn="0"/>
              <w:rPr>
                <w:bCs/>
                <w:sz w:val="20"/>
                <w:szCs w:val="20"/>
              </w:rPr>
            </w:pPr>
          </w:p>
          <w:p w14:paraId="7B1B607E" w14:textId="3DF531C1" w:rsidR="006544FB" w:rsidRPr="00D56057" w:rsidRDefault="003802F8" w:rsidP="006544FB">
            <w:pPr>
              <w:cnfStyle w:val="000000100000" w:firstRow="0" w:lastRow="0" w:firstColumn="0" w:lastColumn="0" w:oddVBand="0" w:evenVBand="0" w:oddHBand="1" w:evenHBand="0" w:firstRowFirstColumn="0" w:firstRowLastColumn="0" w:lastRowFirstColumn="0" w:lastRowLastColumn="0"/>
              <w:rPr>
                <w:rFonts w:ascii="Calibri" w:hAnsi="Calibri"/>
                <w:bCs/>
                <w:sz w:val="20"/>
                <w:szCs w:val="20"/>
                <w:lang w:bidi="ar-SA"/>
              </w:rPr>
            </w:pPr>
            <w:r>
              <w:rPr>
                <w:bCs/>
                <w:sz w:val="20"/>
                <w:szCs w:val="20"/>
              </w:rPr>
              <w:t xml:space="preserve">FSANZ decided that the amendment </w:t>
            </w:r>
            <w:r w:rsidR="002C33AA">
              <w:rPr>
                <w:bCs/>
                <w:sz w:val="20"/>
                <w:szCs w:val="20"/>
              </w:rPr>
              <w:t>was</w:t>
            </w:r>
            <w:r>
              <w:rPr>
                <w:bCs/>
                <w:sz w:val="20"/>
                <w:szCs w:val="20"/>
              </w:rPr>
              <w:t xml:space="preserve"> required for the following reasons</w:t>
            </w:r>
            <w:r w:rsidR="002C33AA">
              <w:rPr>
                <w:bCs/>
                <w:sz w:val="20"/>
                <w:szCs w:val="20"/>
              </w:rPr>
              <w:t>.</w:t>
            </w:r>
          </w:p>
          <w:p w14:paraId="6451AD85" w14:textId="77777777" w:rsidR="006544FB" w:rsidRPr="00D56057" w:rsidRDefault="006544FB" w:rsidP="006544FB">
            <w:pPr>
              <w:cnfStyle w:val="000000100000" w:firstRow="0" w:lastRow="0" w:firstColumn="0" w:lastColumn="0" w:oddVBand="0" w:evenVBand="0" w:oddHBand="1" w:evenHBand="0" w:firstRowFirstColumn="0" w:firstRowLastColumn="0" w:lastRowFirstColumn="0" w:lastRowLastColumn="0"/>
              <w:rPr>
                <w:bCs/>
                <w:sz w:val="20"/>
                <w:szCs w:val="20"/>
              </w:rPr>
            </w:pPr>
          </w:p>
          <w:p w14:paraId="4E1B1510" w14:textId="4BBCCED0" w:rsidR="00A06A9C" w:rsidRPr="000806DB" w:rsidRDefault="00A06A9C" w:rsidP="00A06A9C">
            <w:pPr>
              <w:cnfStyle w:val="000000100000" w:firstRow="0" w:lastRow="0" w:firstColumn="0" w:lastColumn="0" w:oddVBand="0" w:evenVBand="0" w:oddHBand="1" w:evenHBand="0" w:firstRowFirstColumn="0" w:firstRowLastColumn="0" w:lastRowFirstColumn="0" w:lastRowLastColumn="0"/>
              <w:rPr>
                <w:bCs/>
                <w:sz w:val="20"/>
                <w:szCs w:val="20"/>
              </w:rPr>
            </w:pPr>
            <w:r w:rsidRPr="000806DB">
              <w:rPr>
                <w:bCs/>
                <w:sz w:val="20"/>
                <w:szCs w:val="20"/>
              </w:rPr>
              <w:t xml:space="preserve">The </w:t>
            </w:r>
            <w:r w:rsidR="00D53725">
              <w:rPr>
                <w:bCs/>
                <w:sz w:val="20"/>
                <w:szCs w:val="20"/>
              </w:rPr>
              <w:t xml:space="preserve">paragraphs’ reference to </w:t>
            </w:r>
            <w:r w:rsidRPr="000806DB">
              <w:rPr>
                <w:bCs/>
                <w:sz w:val="20"/>
                <w:szCs w:val="20"/>
              </w:rPr>
              <w:t xml:space="preserve">‘total’ </w:t>
            </w:r>
            <w:r w:rsidR="00D53725">
              <w:rPr>
                <w:bCs/>
                <w:sz w:val="20"/>
                <w:szCs w:val="20"/>
              </w:rPr>
              <w:t xml:space="preserve">is not a reference to the name </w:t>
            </w:r>
            <w:r w:rsidRPr="000806DB">
              <w:rPr>
                <w:bCs/>
                <w:sz w:val="20"/>
                <w:szCs w:val="20"/>
              </w:rPr>
              <w:t xml:space="preserve">of </w:t>
            </w:r>
            <w:r w:rsidR="00D53725">
              <w:rPr>
                <w:bCs/>
                <w:sz w:val="20"/>
                <w:szCs w:val="20"/>
              </w:rPr>
              <w:t>a</w:t>
            </w:r>
            <w:r w:rsidRPr="000806DB">
              <w:rPr>
                <w:bCs/>
                <w:sz w:val="20"/>
                <w:szCs w:val="20"/>
              </w:rPr>
              <w:t xml:space="preserve"> </w:t>
            </w:r>
            <w:r w:rsidR="00D53725">
              <w:rPr>
                <w:bCs/>
                <w:sz w:val="20"/>
                <w:szCs w:val="20"/>
              </w:rPr>
              <w:t>method</w:t>
            </w:r>
            <w:r w:rsidR="00D53725" w:rsidRPr="000806DB">
              <w:rPr>
                <w:bCs/>
                <w:sz w:val="20"/>
                <w:szCs w:val="20"/>
              </w:rPr>
              <w:t xml:space="preserve"> of analysis </w:t>
            </w:r>
            <w:r w:rsidR="00D53725">
              <w:rPr>
                <w:bCs/>
                <w:sz w:val="20"/>
                <w:szCs w:val="20"/>
              </w:rPr>
              <w:t xml:space="preserve">that is prescribed by those paragraphs (eg, </w:t>
            </w:r>
            <w:r w:rsidR="00D53725" w:rsidRPr="000806DB">
              <w:rPr>
                <w:sz w:val="20"/>
                <w:szCs w:val="20"/>
              </w:rPr>
              <w:t>AOAC method 985.29 or 991.43)</w:t>
            </w:r>
            <w:r w:rsidRPr="000806DB">
              <w:rPr>
                <w:bCs/>
                <w:sz w:val="20"/>
                <w:szCs w:val="20"/>
              </w:rPr>
              <w:t xml:space="preserve">. It </w:t>
            </w:r>
            <w:r w:rsidR="00D53725">
              <w:rPr>
                <w:bCs/>
                <w:sz w:val="20"/>
                <w:szCs w:val="20"/>
              </w:rPr>
              <w:t xml:space="preserve">is </w:t>
            </w:r>
            <w:r w:rsidRPr="000806DB">
              <w:rPr>
                <w:bCs/>
                <w:sz w:val="20"/>
                <w:szCs w:val="20"/>
              </w:rPr>
              <w:t>a reference to what is measured by those methods of analysis (compared to the other methods listed</w:t>
            </w:r>
            <w:r w:rsidR="00D53725">
              <w:rPr>
                <w:bCs/>
                <w:sz w:val="20"/>
                <w:szCs w:val="20"/>
              </w:rPr>
              <w:t xml:space="preserve"> in section </w:t>
            </w:r>
            <w:r w:rsidR="00D53725" w:rsidRPr="00D56057">
              <w:rPr>
                <w:rFonts w:cs="Arial"/>
                <w:sz w:val="20"/>
              </w:rPr>
              <w:t>S11—4</w:t>
            </w:r>
            <w:r w:rsidRPr="000806DB">
              <w:rPr>
                <w:bCs/>
                <w:sz w:val="20"/>
                <w:szCs w:val="20"/>
              </w:rPr>
              <w:t>), in the context of the definition of dietary fibre in the Code.</w:t>
            </w:r>
          </w:p>
          <w:p w14:paraId="07BBBCC9" w14:textId="77777777" w:rsidR="00A06A9C" w:rsidRDefault="00A06A9C" w:rsidP="006544FB">
            <w:pPr>
              <w:cnfStyle w:val="000000100000" w:firstRow="0" w:lastRow="0" w:firstColumn="0" w:lastColumn="0" w:oddVBand="0" w:evenVBand="0" w:oddHBand="1" w:evenHBand="0" w:firstRowFirstColumn="0" w:firstRowLastColumn="0" w:lastRowFirstColumn="0" w:lastRowLastColumn="0"/>
              <w:rPr>
                <w:bCs/>
                <w:sz w:val="20"/>
                <w:szCs w:val="20"/>
              </w:rPr>
            </w:pPr>
          </w:p>
          <w:p w14:paraId="1C8B77D9" w14:textId="0B4F095B" w:rsidR="006C1C2A" w:rsidRDefault="002C33AA" w:rsidP="006544FB">
            <w:pPr>
              <w:cnfStyle w:val="000000100000" w:firstRow="0" w:lastRow="0" w:firstColumn="0" w:lastColumn="0" w:oddVBand="0" w:evenVBand="0" w:oddHBand="1" w:evenHBand="0" w:firstRowFirstColumn="0" w:firstRowLastColumn="0" w:lastRowFirstColumn="0" w:lastRowLastColumn="0"/>
              <w:rPr>
                <w:bCs/>
                <w:color w:val="44546A"/>
                <w:sz w:val="20"/>
                <w:szCs w:val="20"/>
              </w:rPr>
            </w:pPr>
            <w:r>
              <w:rPr>
                <w:bCs/>
                <w:sz w:val="20"/>
                <w:szCs w:val="20"/>
              </w:rPr>
              <w:t>The</w:t>
            </w:r>
            <w:r w:rsidR="006544FB" w:rsidRPr="00D56057">
              <w:rPr>
                <w:bCs/>
                <w:sz w:val="20"/>
                <w:szCs w:val="20"/>
              </w:rPr>
              <w:t xml:space="preserve"> methods of analysis </w:t>
            </w:r>
            <w:r>
              <w:rPr>
                <w:bCs/>
                <w:sz w:val="20"/>
                <w:szCs w:val="20"/>
              </w:rPr>
              <w:t>prescribed by</w:t>
            </w:r>
            <w:r w:rsidR="006544FB" w:rsidRPr="00D56057">
              <w:rPr>
                <w:bCs/>
                <w:sz w:val="20"/>
                <w:szCs w:val="20"/>
              </w:rPr>
              <w:t xml:space="preserve"> </w:t>
            </w:r>
            <w:r>
              <w:rPr>
                <w:bCs/>
                <w:sz w:val="20"/>
                <w:szCs w:val="20"/>
              </w:rPr>
              <w:t xml:space="preserve">the paragraphs </w:t>
            </w:r>
            <w:r w:rsidR="006544FB" w:rsidRPr="00D56057">
              <w:rPr>
                <w:bCs/>
                <w:sz w:val="20"/>
                <w:szCs w:val="20"/>
              </w:rPr>
              <w:lastRenderedPageBreak/>
              <w:t xml:space="preserve">may not measure the ‘total’ dietary fibre in a food, consistent with the definition of dietary fibre in the Code. For example, if a food contains resistant starch, the </w:t>
            </w:r>
            <w:r>
              <w:rPr>
                <w:bCs/>
                <w:sz w:val="20"/>
                <w:szCs w:val="20"/>
              </w:rPr>
              <w:t xml:space="preserve">prescribed </w:t>
            </w:r>
            <w:r w:rsidR="006544FB" w:rsidRPr="00D56057">
              <w:rPr>
                <w:bCs/>
                <w:sz w:val="20"/>
                <w:szCs w:val="20"/>
              </w:rPr>
              <w:t>methods of analysis will not measure all of the resistant starch in that food and</w:t>
            </w:r>
            <w:r w:rsidR="00D53725">
              <w:rPr>
                <w:bCs/>
                <w:sz w:val="20"/>
                <w:szCs w:val="20"/>
              </w:rPr>
              <w:t xml:space="preserve"> </w:t>
            </w:r>
            <w:r w:rsidRPr="00A06A9C">
              <w:rPr>
                <w:bCs/>
                <w:sz w:val="20"/>
                <w:szCs w:val="20"/>
              </w:rPr>
              <w:t>consequently</w:t>
            </w:r>
            <w:r w:rsidR="006544FB" w:rsidRPr="00D56057">
              <w:rPr>
                <w:bCs/>
                <w:sz w:val="20"/>
                <w:szCs w:val="20"/>
              </w:rPr>
              <w:t xml:space="preserve"> will not measure the ‘total’ dietary fibre (as defined in the Code) in that food</w:t>
            </w:r>
            <w:r w:rsidR="006544FB" w:rsidRPr="006544FB">
              <w:rPr>
                <w:bCs/>
                <w:color w:val="44546A"/>
                <w:sz w:val="20"/>
                <w:szCs w:val="20"/>
              </w:rPr>
              <w:t>.</w:t>
            </w:r>
          </w:p>
          <w:p w14:paraId="15FF777E" w14:textId="5D4A9DA3" w:rsidR="002C33AA" w:rsidRDefault="002C33AA" w:rsidP="006544FB">
            <w:pPr>
              <w:cnfStyle w:val="000000100000" w:firstRow="0" w:lastRow="0" w:firstColumn="0" w:lastColumn="0" w:oddVBand="0" w:evenVBand="0" w:oddHBand="1" w:evenHBand="0" w:firstRowFirstColumn="0" w:firstRowLastColumn="0" w:lastRowFirstColumn="0" w:lastRowLastColumn="0"/>
              <w:rPr>
                <w:bCs/>
                <w:color w:val="44546A"/>
                <w:sz w:val="20"/>
                <w:szCs w:val="20"/>
              </w:rPr>
            </w:pPr>
          </w:p>
          <w:p w14:paraId="128E4FAF" w14:textId="022E72A2" w:rsidR="002C33AA" w:rsidRDefault="002C33AA" w:rsidP="006544FB">
            <w:pPr>
              <w:cnfStyle w:val="000000100000" w:firstRow="0" w:lastRow="0" w:firstColumn="0" w:lastColumn="0" w:oddVBand="0" w:evenVBand="0" w:oddHBand="1" w:evenHBand="0" w:firstRowFirstColumn="0" w:firstRowLastColumn="0" w:lastRowFirstColumn="0" w:lastRowLastColumn="0"/>
              <w:rPr>
                <w:bCs/>
                <w:color w:val="44546A"/>
                <w:sz w:val="20"/>
                <w:szCs w:val="20"/>
              </w:rPr>
            </w:pPr>
            <w:r>
              <w:rPr>
                <w:bCs/>
                <w:sz w:val="20"/>
                <w:szCs w:val="20"/>
              </w:rPr>
              <w:t>The use of the word</w:t>
            </w:r>
            <w:r w:rsidRPr="000806DB">
              <w:rPr>
                <w:bCs/>
                <w:sz w:val="20"/>
                <w:szCs w:val="20"/>
              </w:rPr>
              <w:t xml:space="preserve"> ‘total’ in this context </w:t>
            </w:r>
            <w:r>
              <w:rPr>
                <w:bCs/>
                <w:sz w:val="20"/>
                <w:szCs w:val="20"/>
              </w:rPr>
              <w:t>is therefore inaccurate. Removing it</w:t>
            </w:r>
            <w:r w:rsidRPr="000806DB">
              <w:rPr>
                <w:bCs/>
                <w:sz w:val="20"/>
                <w:szCs w:val="20"/>
              </w:rPr>
              <w:t xml:space="preserve"> </w:t>
            </w:r>
            <w:r>
              <w:rPr>
                <w:bCs/>
                <w:sz w:val="20"/>
                <w:szCs w:val="20"/>
              </w:rPr>
              <w:t>will</w:t>
            </w:r>
            <w:r w:rsidRPr="000806DB">
              <w:rPr>
                <w:bCs/>
                <w:sz w:val="20"/>
                <w:szCs w:val="20"/>
              </w:rPr>
              <w:t xml:space="preserve"> </w:t>
            </w:r>
            <w:r w:rsidR="00D53725">
              <w:rPr>
                <w:bCs/>
                <w:sz w:val="20"/>
                <w:szCs w:val="20"/>
              </w:rPr>
              <w:t>improve</w:t>
            </w:r>
            <w:r>
              <w:rPr>
                <w:bCs/>
                <w:sz w:val="20"/>
                <w:szCs w:val="20"/>
              </w:rPr>
              <w:t xml:space="preserve"> </w:t>
            </w:r>
            <w:r w:rsidRPr="000806DB">
              <w:rPr>
                <w:bCs/>
                <w:sz w:val="20"/>
                <w:szCs w:val="20"/>
              </w:rPr>
              <w:t>clarity.  </w:t>
            </w:r>
          </w:p>
          <w:p w14:paraId="0482924C" w14:textId="2D471F60" w:rsidR="00B50BA2" w:rsidRPr="006544FB" w:rsidRDefault="00B50BA2" w:rsidP="006544FB">
            <w:pPr>
              <w:cnfStyle w:val="000000100000" w:firstRow="0" w:lastRow="0" w:firstColumn="0" w:lastColumn="0" w:oddVBand="0" w:evenVBand="0" w:oddHBand="1" w:evenHBand="0" w:firstRowFirstColumn="0" w:firstRowLastColumn="0" w:lastRowFirstColumn="0" w:lastRowLastColumn="0"/>
              <w:rPr>
                <w:rFonts w:cs="Arial"/>
                <w:sz w:val="20"/>
              </w:rPr>
            </w:pPr>
          </w:p>
        </w:tc>
      </w:tr>
    </w:tbl>
    <w:p w14:paraId="314F9908" w14:textId="1DB43A72" w:rsidR="002C1A3B" w:rsidRPr="00653D9D" w:rsidRDefault="002C1A3B" w:rsidP="00240FD8">
      <w:pPr>
        <w:pStyle w:val="Heading2"/>
        <w:tabs>
          <w:tab w:val="left" w:pos="567"/>
          <w:tab w:val="left" w:pos="1134"/>
          <w:tab w:val="left" w:pos="1701"/>
          <w:tab w:val="left" w:pos="2268"/>
          <w:tab w:val="left" w:pos="2835"/>
          <w:tab w:val="left" w:pos="8055"/>
        </w:tabs>
      </w:pPr>
      <w:bookmarkStart w:id="55" w:name="_Toc370223472"/>
      <w:bookmarkStart w:id="56" w:name="_Toc370225387"/>
      <w:bookmarkStart w:id="57" w:name="_Toc471478805"/>
      <w:bookmarkStart w:id="58" w:name="_Toc471478942"/>
      <w:bookmarkStart w:id="59" w:name="_Toc309291812"/>
      <w:bookmarkStart w:id="60" w:name="_Toc175381442"/>
      <w:bookmarkEnd w:id="49"/>
      <w:bookmarkEnd w:id="50"/>
      <w:bookmarkEnd w:id="51"/>
      <w:bookmarkEnd w:id="52"/>
      <w:bookmarkEnd w:id="53"/>
      <w:bookmarkEnd w:id="54"/>
      <w:r w:rsidRPr="00653D9D">
        <w:lastRenderedPageBreak/>
        <w:t>2.2</w:t>
      </w:r>
      <w:r w:rsidRPr="00653D9D">
        <w:tab/>
        <w:t>Risk assessment</w:t>
      </w:r>
      <w:bookmarkEnd w:id="55"/>
      <w:bookmarkEnd w:id="56"/>
      <w:bookmarkEnd w:id="57"/>
      <w:bookmarkEnd w:id="58"/>
      <w:r w:rsidRPr="00653D9D">
        <w:t xml:space="preserve"> </w:t>
      </w:r>
      <w:r w:rsidR="002E33B8" w:rsidRPr="00653D9D">
        <w:tab/>
      </w:r>
    </w:p>
    <w:p w14:paraId="314F9909" w14:textId="77777777" w:rsidR="001C51DC" w:rsidRPr="00653D9D" w:rsidRDefault="001C51DC" w:rsidP="001C51DC">
      <w:bookmarkStart w:id="61" w:name="_Toc370223473"/>
      <w:bookmarkStart w:id="62" w:name="_Toc370225388"/>
      <w:bookmarkStart w:id="63" w:name="_Toc175381450"/>
      <w:bookmarkEnd w:id="59"/>
      <w:bookmarkEnd w:id="60"/>
      <w:r w:rsidRPr="00653D9D">
        <w:t>All of the issues considered are relatively minor in nature, and fall into the following broad categories:</w:t>
      </w:r>
    </w:p>
    <w:p w14:paraId="314F990A" w14:textId="703EDCF1" w:rsidR="001C51DC" w:rsidRPr="00653D9D" w:rsidRDefault="001C51DC" w:rsidP="001C51DC"/>
    <w:p w14:paraId="314F990B" w14:textId="77777777" w:rsidR="001C51DC" w:rsidRPr="00653D9D" w:rsidRDefault="001C51DC" w:rsidP="00663713">
      <w:pPr>
        <w:pStyle w:val="FSBullet1"/>
        <w:rPr>
          <w:b/>
        </w:rPr>
      </w:pPr>
      <w:bookmarkStart w:id="64" w:name="_Toc327517525"/>
      <w:r w:rsidRPr="00653D9D">
        <w:rPr>
          <w:b/>
        </w:rPr>
        <w:t>correcting minor errors and omissions, and improving clarity</w:t>
      </w:r>
      <w:bookmarkEnd w:id="64"/>
      <w:r w:rsidRPr="00653D9D">
        <w:rPr>
          <w:b/>
        </w:rPr>
        <w:t xml:space="preserve"> </w:t>
      </w:r>
    </w:p>
    <w:p w14:paraId="0DC8BBB2" w14:textId="619ED61E" w:rsidR="005D2FEF" w:rsidRDefault="001C51DC" w:rsidP="005D2FEF">
      <w:pPr>
        <w:widowControl/>
        <w:ind w:left="567"/>
        <w:rPr>
          <w:rFonts w:cs="Arial"/>
          <w:lang w:bidi="ar-SA"/>
        </w:rPr>
      </w:pPr>
      <w:r w:rsidRPr="00653D9D">
        <w:rPr>
          <w:rFonts w:cs="Arial"/>
          <w:lang w:bidi="ar-SA"/>
        </w:rPr>
        <w:t>The amendments include the correction of typographical errors and incorrect spelling and punctuation, as well as re-wor</w:t>
      </w:r>
      <w:r w:rsidR="005D2FEF">
        <w:rPr>
          <w:rFonts w:cs="Arial"/>
          <w:lang w:bidi="ar-SA"/>
        </w:rPr>
        <w:t>ding of text to improve clarity.</w:t>
      </w:r>
      <w:r w:rsidR="00C51D00">
        <w:rPr>
          <w:rFonts w:cs="Arial"/>
          <w:lang w:bidi="ar-SA"/>
        </w:rPr>
        <w:t xml:space="preserve"> See </w:t>
      </w:r>
      <w:r w:rsidR="00C51D00" w:rsidRPr="007E11FA">
        <w:t>Items [</w:t>
      </w:r>
      <w:r w:rsidR="00C51D00" w:rsidRPr="0054664B">
        <w:t>1]</w:t>
      </w:r>
      <w:r w:rsidR="00C51D00">
        <w:t>,</w:t>
      </w:r>
      <w:r w:rsidR="00C51D00" w:rsidRPr="0054664B">
        <w:t xml:space="preserve"> [3] to [</w:t>
      </w:r>
      <w:r w:rsidR="00C51D00">
        <w:t>7</w:t>
      </w:r>
      <w:r w:rsidR="00C51D00" w:rsidRPr="0054664B">
        <w:t>]</w:t>
      </w:r>
      <w:r w:rsidR="00C51D00">
        <w:t xml:space="preserve">, </w:t>
      </w:r>
      <w:r w:rsidR="00E5077E">
        <w:t xml:space="preserve">[11], </w:t>
      </w:r>
      <w:r w:rsidR="00C51D00">
        <w:t>[1</w:t>
      </w:r>
      <w:r w:rsidR="00E5077E">
        <w:t>9</w:t>
      </w:r>
      <w:r w:rsidR="00C51D00">
        <w:t>] to [</w:t>
      </w:r>
      <w:r w:rsidR="000229B2">
        <w:t>2</w:t>
      </w:r>
      <w:r w:rsidR="00E5077E">
        <w:t>3</w:t>
      </w:r>
      <w:r w:rsidR="00C51D00" w:rsidRPr="0054664B">
        <w:t>]</w:t>
      </w:r>
      <w:r w:rsidR="00C51D00">
        <w:t>,</w:t>
      </w:r>
      <w:r w:rsidR="00BF178F">
        <w:t xml:space="preserve"> [23A], </w:t>
      </w:r>
      <w:r w:rsidR="00C51D00">
        <w:t>[</w:t>
      </w:r>
      <w:r w:rsidR="000229B2">
        <w:t>2</w:t>
      </w:r>
      <w:r w:rsidR="00E5077E">
        <w:t>6</w:t>
      </w:r>
      <w:r w:rsidR="00C51D00" w:rsidRPr="0054664B">
        <w:t>]</w:t>
      </w:r>
      <w:r w:rsidR="00C51D00">
        <w:t xml:space="preserve"> and [</w:t>
      </w:r>
      <w:r w:rsidR="000229B2">
        <w:t>2</w:t>
      </w:r>
      <w:r w:rsidR="00E5077E">
        <w:t>7</w:t>
      </w:r>
      <w:r w:rsidR="00C51D00">
        <w:t>] in the Schedule of the approved draft variation.</w:t>
      </w:r>
    </w:p>
    <w:p w14:paraId="21C011C3" w14:textId="77777777" w:rsidR="005D2FEF" w:rsidRDefault="005D2FEF" w:rsidP="005D2FEF">
      <w:pPr>
        <w:widowControl/>
        <w:ind w:left="567"/>
        <w:rPr>
          <w:rFonts w:cs="Arial"/>
          <w:lang w:bidi="ar-SA"/>
        </w:rPr>
      </w:pPr>
    </w:p>
    <w:p w14:paraId="7CB1C09B" w14:textId="77777777" w:rsidR="005D2FEF" w:rsidRPr="00653D9D" w:rsidRDefault="005D2FEF" w:rsidP="005D2FEF">
      <w:pPr>
        <w:pStyle w:val="FSBullet1"/>
        <w:rPr>
          <w:b/>
        </w:rPr>
      </w:pPr>
      <w:r>
        <w:rPr>
          <w:b/>
        </w:rPr>
        <w:t>updating references</w:t>
      </w:r>
    </w:p>
    <w:p w14:paraId="3B36A86F" w14:textId="0B7BD627" w:rsidR="005D2FEF" w:rsidRDefault="005D2FEF" w:rsidP="005D2FEF">
      <w:pPr>
        <w:widowControl/>
        <w:ind w:left="567"/>
      </w:pPr>
      <w:r w:rsidRPr="005D2FEF">
        <w:rPr>
          <w:lang w:val="en-AU" w:eastAsia="en-GB" w:bidi="ar-SA"/>
        </w:rPr>
        <w:t>References to the names of standards or cross-references within the Code have been amended or updated.</w:t>
      </w:r>
      <w:r w:rsidR="00C51D00">
        <w:rPr>
          <w:lang w:val="en-AU" w:eastAsia="en-GB" w:bidi="ar-SA"/>
        </w:rPr>
        <w:t xml:space="preserve"> See </w:t>
      </w:r>
      <w:r w:rsidR="00C51D00" w:rsidRPr="007E11FA">
        <w:t xml:space="preserve">Items </w:t>
      </w:r>
      <w:r w:rsidR="00C51D00">
        <w:rPr>
          <w:lang w:val="en-AU" w:eastAsia="en-GB" w:bidi="ar-SA"/>
        </w:rPr>
        <w:t>[</w:t>
      </w:r>
      <w:r w:rsidR="00CF067D">
        <w:rPr>
          <w:lang w:val="en-AU" w:eastAsia="en-GB" w:bidi="ar-SA"/>
        </w:rPr>
        <w:t>1</w:t>
      </w:r>
      <w:r w:rsidR="00E5077E">
        <w:rPr>
          <w:lang w:val="en-AU" w:eastAsia="en-GB" w:bidi="ar-SA"/>
        </w:rPr>
        <w:t>2</w:t>
      </w:r>
      <w:r w:rsidR="00C51D00">
        <w:rPr>
          <w:lang w:val="en-AU" w:eastAsia="en-GB" w:bidi="ar-SA"/>
        </w:rPr>
        <w:t>]</w:t>
      </w:r>
      <w:r w:rsidR="00E5077E">
        <w:rPr>
          <w:lang w:val="en-AU" w:eastAsia="en-GB" w:bidi="ar-SA"/>
        </w:rPr>
        <w:t xml:space="preserve"> to [15],</w:t>
      </w:r>
      <w:r w:rsidR="00C51D00">
        <w:rPr>
          <w:lang w:val="en-AU" w:eastAsia="en-GB" w:bidi="ar-SA"/>
        </w:rPr>
        <w:t xml:space="preserve"> [</w:t>
      </w:r>
      <w:r w:rsidR="007E4A6A">
        <w:rPr>
          <w:lang w:val="en-AU" w:eastAsia="en-GB" w:bidi="ar-SA"/>
        </w:rPr>
        <w:t>2</w:t>
      </w:r>
      <w:r w:rsidR="00E5077E">
        <w:rPr>
          <w:lang w:val="en-AU" w:eastAsia="en-GB" w:bidi="ar-SA"/>
        </w:rPr>
        <w:t>4</w:t>
      </w:r>
      <w:r w:rsidR="00C51D00">
        <w:rPr>
          <w:lang w:val="en-AU" w:eastAsia="en-GB" w:bidi="ar-SA"/>
        </w:rPr>
        <w:t>] and [</w:t>
      </w:r>
      <w:r w:rsidR="007E4A6A">
        <w:rPr>
          <w:lang w:val="en-AU" w:eastAsia="en-GB" w:bidi="ar-SA"/>
        </w:rPr>
        <w:t>2</w:t>
      </w:r>
      <w:r w:rsidR="00E5077E">
        <w:rPr>
          <w:lang w:val="en-AU" w:eastAsia="en-GB" w:bidi="ar-SA"/>
        </w:rPr>
        <w:t>5</w:t>
      </w:r>
      <w:r w:rsidR="00C51D00" w:rsidRPr="0054664B">
        <w:rPr>
          <w:lang w:val="en-AU" w:eastAsia="en-GB" w:bidi="ar-SA"/>
        </w:rPr>
        <w:t xml:space="preserve">] </w:t>
      </w:r>
      <w:r w:rsidR="00C51D00">
        <w:t>in the Schedule of the approved draft variation.</w:t>
      </w:r>
    </w:p>
    <w:p w14:paraId="7DC84BDD" w14:textId="2809D6F7" w:rsidR="006C1C2A" w:rsidRDefault="006C1C2A" w:rsidP="005D2FEF">
      <w:pPr>
        <w:widowControl/>
        <w:ind w:left="567"/>
        <w:rPr>
          <w:rFonts w:cs="Arial"/>
          <w:lang w:bidi="ar-SA"/>
        </w:rPr>
      </w:pPr>
    </w:p>
    <w:p w14:paraId="397C60A7" w14:textId="6CF13F04" w:rsidR="006C1C2A" w:rsidRPr="00653D9D" w:rsidRDefault="006C1C2A" w:rsidP="006C1C2A">
      <w:pPr>
        <w:pStyle w:val="FSBullet1"/>
        <w:rPr>
          <w:b/>
        </w:rPr>
      </w:pPr>
      <w:r>
        <w:rPr>
          <w:b/>
        </w:rPr>
        <w:t>updating references to Australian Standards</w:t>
      </w:r>
    </w:p>
    <w:p w14:paraId="7394AA8D" w14:textId="2C654039" w:rsidR="006C1C2A" w:rsidRPr="005D2FEF" w:rsidRDefault="006C1C2A" w:rsidP="006C1C2A">
      <w:pPr>
        <w:widowControl/>
        <w:ind w:left="567"/>
        <w:rPr>
          <w:rFonts w:cs="Arial"/>
          <w:lang w:bidi="ar-SA"/>
        </w:rPr>
      </w:pPr>
      <w:r w:rsidRPr="005D2FEF">
        <w:rPr>
          <w:lang w:val="en-AU" w:eastAsia="en-GB" w:bidi="ar-SA"/>
        </w:rPr>
        <w:t>References to the</w:t>
      </w:r>
      <w:r>
        <w:rPr>
          <w:lang w:val="en-AU" w:eastAsia="en-GB" w:bidi="ar-SA"/>
        </w:rPr>
        <w:t xml:space="preserve"> names of Australian Standards </w:t>
      </w:r>
      <w:r w:rsidRPr="005D2FEF">
        <w:rPr>
          <w:lang w:val="en-AU" w:eastAsia="en-GB" w:bidi="ar-SA"/>
        </w:rPr>
        <w:t>have been amended or updated.</w:t>
      </w:r>
      <w:r>
        <w:rPr>
          <w:lang w:val="en-AU" w:eastAsia="en-GB" w:bidi="ar-SA"/>
        </w:rPr>
        <w:t xml:space="preserve"> See </w:t>
      </w:r>
      <w:r w:rsidRPr="007E11FA">
        <w:t xml:space="preserve">Items </w:t>
      </w:r>
      <w:r w:rsidR="007E4A6A">
        <w:rPr>
          <w:lang w:val="en-AU" w:eastAsia="en-GB" w:bidi="ar-SA"/>
        </w:rPr>
        <w:t>[9</w:t>
      </w:r>
      <w:r>
        <w:rPr>
          <w:lang w:val="en-AU" w:eastAsia="en-GB" w:bidi="ar-SA"/>
        </w:rPr>
        <w:t>] to [10</w:t>
      </w:r>
      <w:r w:rsidR="00D55703">
        <w:rPr>
          <w:lang w:val="en-AU" w:eastAsia="en-GB" w:bidi="ar-SA"/>
        </w:rPr>
        <w:t>A</w:t>
      </w:r>
      <w:r w:rsidRPr="0054664B">
        <w:rPr>
          <w:lang w:val="en-AU" w:eastAsia="en-GB" w:bidi="ar-SA"/>
        </w:rPr>
        <w:t xml:space="preserve">] </w:t>
      </w:r>
      <w:r>
        <w:t>in the Schedule of the approved draft variation.</w:t>
      </w:r>
    </w:p>
    <w:p w14:paraId="314F990D" w14:textId="180FAE8E" w:rsidR="001C51DC" w:rsidRPr="005D2FEF" w:rsidRDefault="001C51DC" w:rsidP="005D2FEF">
      <w:pPr>
        <w:widowControl/>
        <w:ind w:left="567"/>
        <w:rPr>
          <w:rFonts w:cs="Arial"/>
          <w:lang w:bidi="ar-SA"/>
        </w:rPr>
      </w:pPr>
    </w:p>
    <w:p w14:paraId="314F9911" w14:textId="77777777" w:rsidR="001C51DC" w:rsidRPr="00653D9D" w:rsidRDefault="001C51DC">
      <w:pPr>
        <w:pStyle w:val="FSBullet1"/>
        <w:rPr>
          <w:b/>
        </w:rPr>
      </w:pPr>
      <w:r w:rsidRPr="00653D9D">
        <w:rPr>
          <w:b/>
        </w:rPr>
        <w:t>updating material from international sources</w:t>
      </w:r>
    </w:p>
    <w:p w14:paraId="314F9912" w14:textId="7287158E" w:rsidR="001C51DC" w:rsidRPr="00653D9D" w:rsidRDefault="00D55703" w:rsidP="00E0193B">
      <w:pPr>
        <w:widowControl/>
        <w:ind w:left="567"/>
        <w:rPr>
          <w:rFonts w:cs="Arial"/>
          <w:lang w:bidi="ar-SA"/>
        </w:rPr>
      </w:pPr>
      <w:r>
        <w:rPr>
          <w:rFonts w:cs="Arial"/>
          <w:lang w:bidi="ar-SA"/>
        </w:rPr>
        <w:t>R</w:t>
      </w:r>
      <w:r w:rsidR="00C51D00">
        <w:rPr>
          <w:rFonts w:cs="Arial"/>
          <w:lang w:bidi="ar-SA"/>
        </w:rPr>
        <w:t>eference</w:t>
      </w:r>
      <w:r>
        <w:rPr>
          <w:rFonts w:cs="Arial"/>
          <w:lang w:bidi="ar-SA"/>
        </w:rPr>
        <w:t>s</w:t>
      </w:r>
      <w:r w:rsidR="00C51D00">
        <w:rPr>
          <w:rFonts w:cs="Arial"/>
          <w:lang w:bidi="ar-SA"/>
        </w:rPr>
        <w:t xml:space="preserve"> in the Code to </w:t>
      </w:r>
      <w:r>
        <w:rPr>
          <w:rFonts w:cs="Arial"/>
          <w:lang w:bidi="ar-SA"/>
        </w:rPr>
        <w:t xml:space="preserve">various </w:t>
      </w:r>
      <w:r w:rsidR="00C51D00">
        <w:rPr>
          <w:rFonts w:cs="Arial"/>
          <w:lang w:bidi="ar-SA"/>
        </w:rPr>
        <w:t xml:space="preserve">international publication </w:t>
      </w:r>
      <w:r>
        <w:rPr>
          <w:rFonts w:cs="Arial"/>
          <w:lang w:bidi="ar-SA"/>
        </w:rPr>
        <w:t>have</w:t>
      </w:r>
      <w:r w:rsidR="00C51D00">
        <w:rPr>
          <w:rFonts w:cs="Arial"/>
          <w:lang w:bidi="ar-SA"/>
        </w:rPr>
        <w:t xml:space="preserve"> been replaced with a </w:t>
      </w:r>
      <w:r w:rsidR="001C51DC" w:rsidRPr="00653D9D">
        <w:rPr>
          <w:rFonts w:cs="Arial"/>
          <w:lang w:bidi="ar-SA"/>
        </w:rPr>
        <w:t xml:space="preserve">reference to </w:t>
      </w:r>
      <w:r w:rsidR="00C51D00">
        <w:rPr>
          <w:rFonts w:cs="Arial"/>
          <w:lang w:bidi="ar-SA"/>
        </w:rPr>
        <w:t xml:space="preserve">a </w:t>
      </w:r>
      <w:r w:rsidR="001C51DC" w:rsidRPr="00653D9D">
        <w:rPr>
          <w:rFonts w:cs="Arial"/>
          <w:lang w:bidi="ar-SA"/>
        </w:rPr>
        <w:t xml:space="preserve">more recent </w:t>
      </w:r>
      <w:r w:rsidR="00C51D00">
        <w:rPr>
          <w:rFonts w:cs="Arial"/>
          <w:lang w:bidi="ar-SA"/>
        </w:rPr>
        <w:t>edition of that publication</w:t>
      </w:r>
      <w:r w:rsidR="001C51DC" w:rsidRPr="00653D9D">
        <w:rPr>
          <w:rFonts w:cs="Arial"/>
          <w:lang w:bidi="ar-SA"/>
        </w:rPr>
        <w:t>.</w:t>
      </w:r>
      <w:r w:rsidR="00C51D00">
        <w:rPr>
          <w:rFonts w:cs="Arial"/>
          <w:lang w:bidi="ar-SA"/>
        </w:rPr>
        <w:t xml:space="preserve"> See </w:t>
      </w:r>
      <w:r w:rsidR="007E4A6A">
        <w:t>i</w:t>
      </w:r>
      <w:r w:rsidR="00C51D00">
        <w:t>tem</w:t>
      </w:r>
      <w:r w:rsidR="007E4A6A">
        <w:t>s</w:t>
      </w:r>
      <w:r w:rsidR="00C51D00" w:rsidRPr="00653D9D">
        <w:t xml:space="preserve"> [</w:t>
      </w:r>
      <w:r w:rsidR="00C51D00">
        <w:t>2</w:t>
      </w:r>
      <w:r w:rsidR="00C51D00" w:rsidRPr="00653D9D">
        <w:t>]</w:t>
      </w:r>
      <w:r w:rsidR="000229B2">
        <w:t>,</w:t>
      </w:r>
      <w:r w:rsidR="007E4A6A">
        <w:t xml:space="preserve"> [8]</w:t>
      </w:r>
      <w:r w:rsidR="000229B2">
        <w:t>, and [1</w:t>
      </w:r>
      <w:r w:rsidR="00E5077E">
        <w:t>6</w:t>
      </w:r>
      <w:r w:rsidR="000229B2">
        <w:t>] to [1</w:t>
      </w:r>
      <w:r w:rsidR="00E5077E">
        <w:t>8</w:t>
      </w:r>
      <w:r w:rsidR="000229B2">
        <w:t>]</w:t>
      </w:r>
      <w:r w:rsidR="00C51D00">
        <w:t xml:space="preserve"> in the Schedule of the approved draft variation.</w:t>
      </w:r>
    </w:p>
    <w:p w14:paraId="314F9913" w14:textId="77777777" w:rsidR="001C51DC" w:rsidRPr="00653D9D" w:rsidRDefault="001C51DC" w:rsidP="00E0193B">
      <w:pPr>
        <w:ind w:left="567"/>
        <w:rPr>
          <w:lang w:bidi="ar-SA"/>
        </w:rPr>
      </w:pPr>
    </w:p>
    <w:p w14:paraId="314F9914" w14:textId="70DEF29C" w:rsidR="001C51DC" w:rsidRPr="00653D9D" w:rsidRDefault="001C51DC" w:rsidP="00E0193B">
      <w:pPr>
        <w:ind w:left="567"/>
        <w:rPr>
          <w:lang w:bidi="ar-SA"/>
        </w:rPr>
      </w:pPr>
      <w:r w:rsidRPr="00653D9D">
        <w:rPr>
          <w:lang w:bidi="ar-SA"/>
        </w:rPr>
        <w:t>FSANZ has confidence in the specialist abilities of the internationally recognised scientific organisation</w:t>
      </w:r>
      <w:r w:rsidR="00C51D00">
        <w:rPr>
          <w:lang w:bidi="ar-SA"/>
        </w:rPr>
        <w:t xml:space="preserve"> that</w:t>
      </w:r>
      <w:r w:rsidRPr="00653D9D">
        <w:rPr>
          <w:lang w:bidi="ar-SA"/>
        </w:rPr>
        <w:t xml:space="preserve"> produc</w:t>
      </w:r>
      <w:r w:rsidR="00C51D00">
        <w:rPr>
          <w:lang w:bidi="ar-SA"/>
        </w:rPr>
        <w:t>es</w:t>
      </w:r>
      <w:r w:rsidRPr="00653D9D">
        <w:rPr>
          <w:lang w:bidi="ar-SA"/>
        </w:rPr>
        <w:t xml:space="preserve"> </w:t>
      </w:r>
      <w:r w:rsidR="00085414">
        <w:rPr>
          <w:lang w:bidi="ar-SA"/>
        </w:rPr>
        <w:t>each</w:t>
      </w:r>
      <w:r w:rsidR="00085414" w:rsidRPr="00653D9D">
        <w:rPr>
          <w:lang w:bidi="ar-SA"/>
        </w:rPr>
        <w:t xml:space="preserve"> </w:t>
      </w:r>
      <w:r w:rsidRPr="00653D9D">
        <w:rPr>
          <w:lang w:bidi="ar-SA"/>
        </w:rPr>
        <w:t xml:space="preserve">publication. FSANZ is satisfied that appropriate and rigorous assessments have been carried out by </w:t>
      </w:r>
      <w:r w:rsidR="00C51D00">
        <w:rPr>
          <w:lang w:bidi="ar-SA"/>
        </w:rPr>
        <w:t>this</w:t>
      </w:r>
      <w:r w:rsidR="00C51D00" w:rsidRPr="00653D9D">
        <w:rPr>
          <w:lang w:bidi="ar-SA"/>
        </w:rPr>
        <w:t xml:space="preserve"> </w:t>
      </w:r>
      <w:r w:rsidRPr="00653D9D">
        <w:rPr>
          <w:lang w:bidi="ar-SA"/>
        </w:rPr>
        <w:t>bod</w:t>
      </w:r>
      <w:r w:rsidR="00C51D00">
        <w:rPr>
          <w:lang w:bidi="ar-SA"/>
        </w:rPr>
        <w:t>y</w:t>
      </w:r>
      <w:r w:rsidRPr="00653D9D">
        <w:rPr>
          <w:lang w:bidi="ar-SA"/>
        </w:rPr>
        <w:t xml:space="preserve"> to ensure that there are no public health or safety issues and that </w:t>
      </w:r>
      <w:r w:rsidR="00C51D00">
        <w:rPr>
          <w:lang w:bidi="ar-SA"/>
        </w:rPr>
        <w:t>the</w:t>
      </w:r>
      <w:r w:rsidR="00C51D00" w:rsidRPr="00653D9D">
        <w:rPr>
          <w:lang w:bidi="ar-SA"/>
        </w:rPr>
        <w:t xml:space="preserve"> </w:t>
      </w:r>
      <w:r w:rsidRPr="00653D9D">
        <w:rPr>
          <w:lang w:bidi="ar-SA"/>
        </w:rPr>
        <w:t>publication can be incorporated by reference in the Code.</w:t>
      </w:r>
    </w:p>
    <w:p w14:paraId="314F991A" w14:textId="261C3953" w:rsidR="001C51DC" w:rsidRPr="00653D9D" w:rsidRDefault="001C51DC" w:rsidP="001C51DC"/>
    <w:p w14:paraId="314F991B" w14:textId="77777777" w:rsidR="001C51DC" w:rsidRPr="00653D9D" w:rsidRDefault="001C51DC" w:rsidP="001C51DC">
      <w:r w:rsidRPr="00653D9D">
        <w:t xml:space="preserve">No potential public health and safety concerns have been identified. </w:t>
      </w:r>
    </w:p>
    <w:p w14:paraId="314F991C" w14:textId="77777777" w:rsidR="002C1A3B" w:rsidRPr="00653D9D" w:rsidRDefault="002C1A3B" w:rsidP="002C1A3B">
      <w:pPr>
        <w:pStyle w:val="Heading2"/>
      </w:pPr>
      <w:bookmarkStart w:id="65" w:name="_Toc471478806"/>
      <w:bookmarkStart w:id="66" w:name="_Toc471478943"/>
      <w:r w:rsidRPr="00653D9D">
        <w:lastRenderedPageBreak/>
        <w:t>2.3</w:t>
      </w:r>
      <w:r w:rsidRPr="00653D9D">
        <w:tab/>
        <w:t>Risk management</w:t>
      </w:r>
      <w:bookmarkEnd w:id="61"/>
      <w:bookmarkEnd w:id="62"/>
      <w:bookmarkEnd w:id="65"/>
      <w:bookmarkEnd w:id="66"/>
    </w:p>
    <w:p w14:paraId="5253AF46" w14:textId="7A82DA98" w:rsidR="009565CD" w:rsidRDefault="001C51DC" w:rsidP="00474842">
      <w:bookmarkStart w:id="67" w:name="_Toc309291814"/>
      <w:bookmarkStart w:id="68" w:name="_Toc370225389"/>
      <w:bookmarkStart w:id="69" w:name="_Toc286391012"/>
      <w:bookmarkEnd w:id="63"/>
      <w:r w:rsidRPr="00653D9D">
        <w:rPr>
          <w:rFonts w:cs="Arial"/>
        </w:rPr>
        <w:t>The proposed amendments wil</w:t>
      </w:r>
      <w:r w:rsidRPr="00653D9D">
        <w:t>l ensure that the Code remains current and that errors and inconsistencies are addressed.</w:t>
      </w:r>
    </w:p>
    <w:p w14:paraId="314F991D" w14:textId="15E89ECF" w:rsidR="002C1A3B" w:rsidRPr="00653D9D" w:rsidRDefault="002C1A3B" w:rsidP="00D5047D">
      <w:pPr>
        <w:pStyle w:val="Heading2"/>
      </w:pPr>
      <w:r w:rsidRPr="00653D9D">
        <w:t>2.4</w:t>
      </w:r>
      <w:r w:rsidRPr="00653D9D">
        <w:tab/>
        <w:t>Risk communication</w:t>
      </w:r>
      <w:bookmarkEnd w:id="67"/>
      <w:bookmarkEnd w:id="68"/>
      <w:r w:rsidRPr="00653D9D">
        <w:t xml:space="preserve"> </w:t>
      </w:r>
    </w:p>
    <w:p w14:paraId="314F991E" w14:textId="2FA14E59" w:rsidR="002C1A3B" w:rsidRPr="00653D9D" w:rsidRDefault="005C62EE" w:rsidP="009565CD">
      <w:pPr>
        <w:pStyle w:val="Heading3"/>
      </w:pPr>
      <w:bookmarkStart w:id="70" w:name="_Toc300933437"/>
      <w:bookmarkStart w:id="71" w:name="_Toc370223475"/>
      <w:bookmarkStart w:id="72" w:name="_Toc370225390"/>
      <w:bookmarkStart w:id="73" w:name="_Toc471478807"/>
      <w:bookmarkStart w:id="74" w:name="_Toc471478944"/>
      <w:r w:rsidRPr="00653D9D">
        <w:t>2.4</w:t>
      </w:r>
      <w:r w:rsidR="002C1A3B" w:rsidRPr="00653D9D">
        <w:tab/>
        <w:t>Consultation</w:t>
      </w:r>
      <w:bookmarkEnd w:id="70"/>
      <w:bookmarkEnd w:id="71"/>
      <w:bookmarkEnd w:id="72"/>
      <w:bookmarkEnd w:id="73"/>
      <w:bookmarkEnd w:id="74"/>
    </w:p>
    <w:p w14:paraId="314F991F" w14:textId="77777777" w:rsidR="001C76CF" w:rsidRPr="00653D9D" w:rsidRDefault="001C76CF" w:rsidP="004627B6">
      <w:pPr>
        <w:ind w:right="-286"/>
      </w:pPr>
      <w:r w:rsidRPr="00653D9D">
        <w:t xml:space="preserve">Consultation is a key part of FSANZ’s standards development process. FSANZ acknowledges the time taken by individuals and organisations to make submissions on this Proposal. </w:t>
      </w:r>
    </w:p>
    <w:p w14:paraId="314F9920" w14:textId="77777777" w:rsidR="001C76CF" w:rsidRPr="00653D9D" w:rsidRDefault="001C76CF" w:rsidP="001C76CF"/>
    <w:p w14:paraId="314F9921" w14:textId="6823BD6D" w:rsidR="001C76CF" w:rsidRPr="005D2FEF" w:rsidRDefault="001C76CF" w:rsidP="001C76CF">
      <w:r w:rsidRPr="00653D9D">
        <w:t xml:space="preserve">Public submissions were invited on draft variations which were released for public comment </w:t>
      </w:r>
      <w:r w:rsidRPr="005D2FEF">
        <w:t xml:space="preserve">between </w:t>
      </w:r>
      <w:r w:rsidR="005D2FEF" w:rsidRPr="005D2FEF">
        <w:t>15 May 2018</w:t>
      </w:r>
      <w:r w:rsidR="0096344C" w:rsidRPr="005D2FEF">
        <w:t xml:space="preserve"> </w:t>
      </w:r>
      <w:r w:rsidRPr="005D2FEF">
        <w:t xml:space="preserve">and </w:t>
      </w:r>
      <w:r w:rsidR="00BB3262" w:rsidRPr="005D2FEF">
        <w:t>1</w:t>
      </w:r>
      <w:r w:rsidR="005D2FEF" w:rsidRPr="005D2FEF">
        <w:t>2 June 2018</w:t>
      </w:r>
      <w:r w:rsidRPr="005D2FEF">
        <w:t>. The call for submissions was notified via the Notification Circular and</w:t>
      </w:r>
      <w:r w:rsidRPr="005D2FEF">
        <w:rPr>
          <w:lang w:bidi="ar-SA"/>
        </w:rPr>
        <w:t xml:space="preserve"> Food Standards News. </w:t>
      </w:r>
      <w:r w:rsidRPr="005D2FEF">
        <w:t xml:space="preserve">Subscribers and interested parties were also notified. </w:t>
      </w:r>
    </w:p>
    <w:p w14:paraId="314F9922" w14:textId="77777777" w:rsidR="001C76CF" w:rsidRPr="005D2FEF" w:rsidRDefault="001C76CF" w:rsidP="001C76CF"/>
    <w:p w14:paraId="314F9926" w14:textId="533F8312" w:rsidR="001C76CF" w:rsidRPr="005D2FEF" w:rsidRDefault="005D2FEF" w:rsidP="001C76CF">
      <w:pPr>
        <w:rPr>
          <w:szCs w:val="22"/>
        </w:rPr>
      </w:pPr>
      <w:r w:rsidRPr="005D2FEF">
        <w:t>Three</w:t>
      </w:r>
      <w:r w:rsidR="00663713" w:rsidRPr="005D2FEF">
        <w:t xml:space="preserve"> </w:t>
      </w:r>
      <w:r w:rsidR="001C76CF" w:rsidRPr="005D2FEF">
        <w:t>submissions were received</w:t>
      </w:r>
      <w:r w:rsidR="002E33B8" w:rsidRPr="005D2FEF">
        <w:t xml:space="preserve">. </w:t>
      </w:r>
      <w:r w:rsidR="001C76CF" w:rsidRPr="005D2FEF">
        <w:rPr>
          <w:szCs w:val="22"/>
        </w:rPr>
        <w:t>All submissions were considered by the FSANZ Board.</w:t>
      </w:r>
    </w:p>
    <w:p w14:paraId="314F992A" w14:textId="09BC3DB0" w:rsidR="002C1A3B" w:rsidRPr="00653D9D" w:rsidRDefault="002C1A3B" w:rsidP="002C1A3B">
      <w:pPr>
        <w:pStyle w:val="Heading2"/>
      </w:pPr>
      <w:bookmarkStart w:id="75" w:name="_Toc370223477"/>
      <w:bookmarkStart w:id="76" w:name="_Toc370225392"/>
      <w:bookmarkStart w:id="77" w:name="_Toc471478808"/>
      <w:bookmarkStart w:id="78" w:name="_Toc471478945"/>
      <w:bookmarkStart w:id="79" w:name="_Toc309291816"/>
      <w:bookmarkStart w:id="80" w:name="_Toc300933448"/>
      <w:bookmarkStart w:id="81" w:name="_Toc300933577"/>
      <w:bookmarkStart w:id="82" w:name="_Toc301535601"/>
      <w:bookmarkStart w:id="83" w:name="_Toc309385464"/>
      <w:bookmarkStart w:id="84" w:name="_Toc175381456"/>
      <w:bookmarkEnd w:id="38"/>
      <w:bookmarkEnd w:id="39"/>
      <w:bookmarkEnd w:id="40"/>
      <w:bookmarkEnd w:id="41"/>
      <w:bookmarkEnd w:id="42"/>
      <w:bookmarkEnd w:id="43"/>
      <w:bookmarkEnd w:id="69"/>
      <w:r w:rsidRPr="00653D9D">
        <w:t>2.5</w:t>
      </w:r>
      <w:r w:rsidRPr="00653D9D">
        <w:tab/>
        <w:t>FSANZ Act assessment requirements</w:t>
      </w:r>
      <w:bookmarkEnd w:id="75"/>
      <w:bookmarkEnd w:id="76"/>
      <w:bookmarkEnd w:id="77"/>
      <w:bookmarkEnd w:id="78"/>
    </w:p>
    <w:p w14:paraId="314F992B" w14:textId="77777777" w:rsidR="002C1A3B" w:rsidRPr="00653D9D" w:rsidRDefault="002C1A3B" w:rsidP="002C1A3B">
      <w:pPr>
        <w:pStyle w:val="Heading3"/>
      </w:pPr>
      <w:bookmarkStart w:id="85" w:name="_Toc370223478"/>
      <w:bookmarkStart w:id="86" w:name="_Toc370225393"/>
      <w:bookmarkStart w:id="87" w:name="_Toc471478809"/>
      <w:bookmarkStart w:id="88" w:name="_Toc471478946"/>
      <w:bookmarkEnd w:id="79"/>
      <w:bookmarkEnd w:id="80"/>
      <w:bookmarkEnd w:id="81"/>
      <w:bookmarkEnd w:id="82"/>
      <w:bookmarkEnd w:id="83"/>
      <w:r w:rsidRPr="00653D9D">
        <w:t>2.5.1</w:t>
      </w:r>
      <w:r w:rsidRPr="00653D9D">
        <w:tab/>
        <w:t>Section 59</w:t>
      </w:r>
      <w:bookmarkEnd w:id="85"/>
      <w:bookmarkEnd w:id="86"/>
      <w:bookmarkEnd w:id="87"/>
      <w:bookmarkEnd w:id="88"/>
    </w:p>
    <w:p w14:paraId="77494F3D" w14:textId="7A70DDDA" w:rsidR="002B0EDB" w:rsidRPr="00ED60A7" w:rsidRDefault="002C1A3B" w:rsidP="002B0EDB">
      <w:pPr>
        <w:pStyle w:val="Heading4"/>
      </w:pPr>
      <w:r w:rsidRPr="00653D9D">
        <w:t>2.5.1.1</w:t>
      </w:r>
      <w:r w:rsidRPr="00653D9D">
        <w:tab/>
      </w:r>
      <w:r w:rsidR="00BF45A3" w:rsidRPr="00653D9D">
        <w:t>Consideration of costs and</w:t>
      </w:r>
      <w:r w:rsidRPr="00653D9D">
        <w:t xml:space="preserve"> benefit</w:t>
      </w:r>
      <w:r w:rsidR="00BF45A3" w:rsidRPr="00653D9D">
        <w:t>s</w:t>
      </w:r>
    </w:p>
    <w:p w14:paraId="5271BDA9" w14:textId="77777777" w:rsidR="002B0EDB" w:rsidRPr="00DD2711" w:rsidRDefault="002B0EDB" w:rsidP="002B0EDB">
      <w:r w:rsidRPr="00DD2711">
        <w:t>Section 59 requires FSANZ to have regard to whether the direct and indirect benefits that would arise from a food regulatory measure developed as a result of this Proposal will outweigh the costs to the community, Government or industry that would arise from the development of that measure.</w:t>
      </w:r>
    </w:p>
    <w:p w14:paraId="7085E8D0" w14:textId="77777777" w:rsidR="002B0EDB" w:rsidRPr="00DD2711" w:rsidRDefault="002B0EDB" w:rsidP="002B0EDB">
      <w:pPr>
        <w:rPr>
          <w:rFonts w:cs="Arial"/>
        </w:rPr>
      </w:pPr>
      <w:r w:rsidRPr="00DD2711">
        <w:rPr>
          <w:rFonts w:cs="Arial"/>
        </w:rPr>
        <w:t xml:space="preserve"> </w:t>
      </w:r>
    </w:p>
    <w:p w14:paraId="5C416D65" w14:textId="56217D67" w:rsidR="002B0EDB" w:rsidRPr="00DD2711" w:rsidRDefault="002B0EDB" w:rsidP="002B0EDB">
      <w:r w:rsidRPr="00DD2711">
        <w:rPr>
          <w:rFonts w:cs="Arial"/>
        </w:rPr>
        <w:t>Proposal P</w:t>
      </w:r>
      <w:r w:rsidRPr="000E35FB">
        <w:rPr>
          <w:rFonts w:cs="Arial"/>
        </w:rPr>
        <w:t>10</w:t>
      </w:r>
      <w:r w:rsidR="000E35FB" w:rsidRPr="000E35FB">
        <w:rPr>
          <w:rFonts w:cs="Arial"/>
        </w:rPr>
        <w:t>48</w:t>
      </w:r>
      <w:r w:rsidRPr="000E35FB">
        <w:rPr>
          <w:rFonts w:cs="Arial"/>
        </w:rPr>
        <w:t xml:space="preserve"> </w:t>
      </w:r>
      <w:r w:rsidR="00EC257D" w:rsidRPr="000E35FB">
        <w:rPr>
          <w:rFonts w:cs="Arial"/>
        </w:rPr>
        <w:t>aims</w:t>
      </w:r>
      <w:r w:rsidRPr="000E35FB">
        <w:rPr>
          <w:rFonts w:cs="Arial"/>
        </w:rPr>
        <w:t xml:space="preserve"> </w:t>
      </w:r>
      <w:r w:rsidRPr="00DD2711">
        <w:rPr>
          <w:rFonts w:cs="Arial"/>
        </w:rPr>
        <w:t xml:space="preserve">to correct </w:t>
      </w:r>
      <w:r w:rsidR="005B21C5" w:rsidRPr="00DD2711">
        <w:rPr>
          <w:lang w:bidi="ar-SA"/>
        </w:rPr>
        <w:t>typographical errors</w:t>
      </w:r>
      <w:r w:rsidR="006E1F73" w:rsidRPr="00DD2711">
        <w:rPr>
          <w:lang w:bidi="ar-SA"/>
        </w:rPr>
        <w:t>;</w:t>
      </w:r>
      <w:r w:rsidR="00127254" w:rsidRPr="00DD2711">
        <w:rPr>
          <w:lang w:bidi="ar-SA"/>
        </w:rPr>
        <w:t xml:space="preserve"> </w:t>
      </w:r>
      <w:r w:rsidR="006E1F73" w:rsidRPr="00DD2711">
        <w:rPr>
          <w:lang w:bidi="ar-SA"/>
        </w:rPr>
        <w:t>resolve</w:t>
      </w:r>
      <w:r w:rsidR="005B21C5" w:rsidRPr="00DD2711">
        <w:rPr>
          <w:lang w:bidi="ar-SA"/>
        </w:rPr>
        <w:t xml:space="preserve"> formatting issues; and update references</w:t>
      </w:r>
      <w:r w:rsidRPr="00DD2711">
        <w:rPr>
          <w:rFonts w:cs="Arial"/>
        </w:rPr>
        <w:t xml:space="preserve">. </w:t>
      </w:r>
      <w:r w:rsidRPr="00DD2711">
        <w:br/>
      </w:r>
    </w:p>
    <w:p w14:paraId="550EA2DE" w14:textId="1B0FE6E6" w:rsidR="002B0EDB" w:rsidRPr="00DD2711" w:rsidRDefault="004C0D7A" w:rsidP="002B0EDB">
      <w:pPr>
        <w:rPr>
          <w:rFonts w:eastAsia="Calibri"/>
        </w:rPr>
      </w:pPr>
      <w:r w:rsidRPr="00DD2711">
        <w:rPr>
          <w:rFonts w:cs="Arial"/>
        </w:rPr>
        <w:t>A</w:t>
      </w:r>
      <w:r w:rsidR="00CE51C2" w:rsidRPr="00DD2711">
        <w:rPr>
          <w:rFonts w:cs="Arial"/>
        </w:rPr>
        <w:t xml:space="preserve">s stated above, </w:t>
      </w:r>
      <w:r w:rsidR="00CE51C2" w:rsidRPr="00DD2711">
        <w:t>references in the Code become superseded as the documents they refer to are updated</w:t>
      </w:r>
      <w:r w:rsidR="00CE51C2" w:rsidRPr="00DD2711">
        <w:rPr>
          <w:rFonts w:eastAsia="Calibri"/>
        </w:rPr>
        <w:t xml:space="preserve">. </w:t>
      </w:r>
      <w:r w:rsidR="00EC257D" w:rsidRPr="00DD2711">
        <w:rPr>
          <w:rFonts w:eastAsia="Calibri"/>
        </w:rPr>
        <w:t xml:space="preserve">The draft variation </w:t>
      </w:r>
      <w:r w:rsidR="00F915F8" w:rsidRPr="00DD2711">
        <w:rPr>
          <w:rFonts w:eastAsia="Calibri"/>
        </w:rPr>
        <w:t>includes</w:t>
      </w:r>
      <w:r w:rsidR="00EC257D" w:rsidRPr="00DD2711">
        <w:rPr>
          <w:rFonts w:eastAsia="Calibri"/>
        </w:rPr>
        <w:t xml:space="preserve"> new and updated specifications for some permitted substances (such as food additives). This ensures the Code is updated with the latest internationally recognised specifications. W</w:t>
      </w:r>
      <w:r w:rsidR="002B0EDB" w:rsidRPr="00DD2711">
        <w:rPr>
          <w:rFonts w:eastAsia="Calibri"/>
        </w:rPr>
        <w:t xml:space="preserve">ithout the draft variation, the Code will remain </w:t>
      </w:r>
      <w:r w:rsidR="00A635A9" w:rsidRPr="00DD2711">
        <w:rPr>
          <w:rFonts w:eastAsia="Calibri"/>
        </w:rPr>
        <w:t>out of date</w:t>
      </w:r>
      <w:r w:rsidR="002B0EDB" w:rsidRPr="00DD2711">
        <w:rPr>
          <w:rFonts w:eastAsia="Calibri"/>
        </w:rPr>
        <w:t>.</w:t>
      </w:r>
    </w:p>
    <w:p w14:paraId="0D76A11F" w14:textId="77777777" w:rsidR="004C0D7A" w:rsidRPr="00DD2711" w:rsidRDefault="004C0D7A" w:rsidP="002B0EDB">
      <w:pPr>
        <w:rPr>
          <w:rFonts w:eastAsia="Calibri"/>
        </w:rPr>
      </w:pPr>
    </w:p>
    <w:p w14:paraId="5341807F" w14:textId="0AE42C01" w:rsidR="004C0D7A" w:rsidRPr="00DD2711" w:rsidRDefault="005A40F0" w:rsidP="002B0EDB">
      <w:pPr>
        <w:rPr>
          <w:rFonts w:eastAsia="Calibri"/>
        </w:rPr>
      </w:pPr>
      <w:r w:rsidRPr="00DD2711">
        <w:rPr>
          <w:rFonts w:cs="Arial"/>
        </w:rPr>
        <w:t>T</w:t>
      </w:r>
      <w:r w:rsidR="004C0D7A" w:rsidRPr="00DD2711">
        <w:rPr>
          <w:rFonts w:cs="Arial"/>
        </w:rPr>
        <w:t xml:space="preserve">he </w:t>
      </w:r>
      <w:r w:rsidR="004C0D7A" w:rsidRPr="00DD2711">
        <w:t>draft variation is not expected to impose costs on the community, industry or Government that are additional to those already generated by compliance with or enforcement of the current Code.</w:t>
      </w:r>
    </w:p>
    <w:p w14:paraId="2D8AFD0F" w14:textId="77777777" w:rsidR="002B0EDB" w:rsidRPr="00DD2711" w:rsidRDefault="002B0EDB" w:rsidP="002B0EDB">
      <w:pPr>
        <w:rPr>
          <w:rFonts w:cs="Arial"/>
        </w:rPr>
      </w:pPr>
    </w:p>
    <w:p w14:paraId="481AFD31" w14:textId="77777777" w:rsidR="002B0EDB" w:rsidRPr="00054E77" w:rsidRDefault="002B0EDB" w:rsidP="002B0EDB">
      <w:r w:rsidRPr="00DD2711">
        <w:t>For this reason, one can reasonably conclude that the benefits to the community, Government or industry that will arise from the draft variation will outweigh the costs that would arise from the development of that measure</w:t>
      </w:r>
      <w:r w:rsidRPr="00DD2711">
        <w:rPr>
          <w:rFonts w:eastAsia="Calibri"/>
        </w:rPr>
        <w:t>.</w:t>
      </w:r>
    </w:p>
    <w:p w14:paraId="314F992E" w14:textId="77777777" w:rsidR="002C1A3B" w:rsidRPr="00653D9D" w:rsidRDefault="002C1A3B" w:rsidP="002C1A3B">
      <w:pPr>
        <w:pStyle w:val="Heading4"/>
      </w:pPr>
      <w:r w:rsidRPr="00653D9D">
        <w:t>2.5.1.2</w:t>
      </w:r>
      <w:r w:rsidRPr="00653D9D">
        <w:tab/>
        <w:t>Other measures</w:t>
      </w:r>
    </w:p>
    <w:p w14:paraId="314F992F" w14:textId="340E390B" w:rsidR="002C1A3B" w:rsidRPr="00653D9D" w:rsidRDefault="002C1A3B" w:rsidP="002C1A3B">
      <w:r w:rsidRPr="00653D9D">
        <w:t>There are no other measures (whether available to FSANZ or not) that would be more cost</w:t>
      </w:r>
      <w:r w:rsidR="00085414">
        <w:noBreakHyphen/>
      </w:r>
      <w:r w:rsidRPr="00653D9D">
        <w:t>effective than a food regulatory measure developed or varied as a result of the Proposal.</w:t>
      </w:r>
    </w:p>
    <w:p w14:paraId="314F9930" w14:textId="77777777" w:rsidR="002C1A3B" w:rsidRPr="00653D9D" w:rsidRDefault="002C1A3B" w:rsidP="002C1A3B">
      <w:pPr>
        <w:pStyle w:val="Heading4"/>
      </w:pPr>
      <w:r w:rsidRPr="00653D9D">
        <w:lastRenderedPageBreak/>
        <w:t>2.5.1.3</w:t>
      </w:r>
      <w:r w:rsidRPr="00653D9D">
        <w:tab/>
        <w:t>Any relevant New Zealand standards</w:t>
      </w:r>
    </w:p>
    <w:p w14:paraId="314F9931" w14:textId="7A0124A3" w:rsidR="002C1A3B" w:rsidRPr="00653D9D" w:rsidRDefault="002C1A3B" w:rsidP="002C1A3B">
      <w:pPr>
        <w:rPr>
          <w:lang w:bidi="ar-SA"/>
        </w:rPr>
      </w:pPr>
      <w:r w:rsidRPr="00992C45">
        <w:rPr>
          <w:lang w:bidi="ar-SA"/>
        </w:rPr>
        <w:t xml:space="preserve">There are no relevant New Zealand </w:t>
      </w:r>
      <w:r w:rsidR="00A10D52" w:rsidRPr="00992C45">
        <w:rPr>
          <w:lang w:bidi="ar-SA"/>
        </w:rPr>
        <w:t xml:space="preserve">only </w:t>
      </w:r>
      <w:r w:rsidR="004B5FE2" w:rsidRPr="00992C45">
        <w:rPr>
          <w:lang w:bidi="ar-SA"/>
        </w:rPr>
        <w:t>s</w:t>
      </w:r>
      <w:r w:rsidRPr="00992C45">
        <w:rPr>
          <w:lang w:bidi="ar-SA"/>
        </w:rPr>
        <w:t>tandards.</w:t>
      </w:r>
      <w:r w:rsidR="00E0193B" w:rsidRPr="00992C45">
        <w:rPr>
          <w:lang w:bidi="ar-SA"/>
        </w:rPr>
        <w:t xml:space="preserve"> </w:t>
      </w:r>
      <w:r w:rsidR="00992C45">
        <w:rPr>
          <w:lang w:bidi="ar-SA"/>
        </w:rPr>
        <w:t>The</w:t>
      </w:r>
      <w:r w:rsidR="00A10D52" w:rsidRPr="00992C45">
        <w:rPr>
          <w:lang w:bidi="ar-SA"/>
        </w:rPr>
        <w:t xml:space="preserve"> </w:t>
      </w:r>
      <w:r w:rsidR="00E0193B" w:rsidRPr="00992C45">
        <w:rPr>
          <w:lang w:bidi="ar-SA"/>
        </w:rPr>
        <w:t xml:space="preserve">standards </w:t>
      </w:r>
      <w:r w:rsidR="00A10D52" w:rsidRPr="00992C45">
        <w:rPr>
          <w:lang w:bidi="ar-SA"/>
        </w:rPr>
        <w:t xml:space="preserve">being amended </w:t>
      </w:r>
      <w:r w:rsidR="00992C45" w:rsidRPr="00D56057">
        <w:rPr>
          <w:lang w:bidi="ar-SA"/>
        </w:rPr>
        <w:t>include</w:t>
      </w:r>
      <w:r w:rsidR="00A10D52" w:rsidRPr="00992C45">
        <w:rPr>
          <w:lang w:bidi="ar-SA"/>
        </w:rPr>
        <w:t xml:space="preserve"> </w:t>
      </w:r>
      <w:r w:rsidR="00E0193B" w:rsidRPr="00992C45">
        <w:rPr>
          <w:lang w:bidi="ar-SA"/>
        </w:rPr>
        <w:t>joint standards</w:t>
      </w:r>
      <w:r w:rsidR="000677A3" w:rsidRPr="00992C45">
        <w:rPr>
          <w:lang w:bidi="ar-SA"/>
        </w:rPr>
        <w:t>.</w:t>
      </w:r>
    </w:p>
    <w:p w14:paraId="314F9932" w14:textId="77777777" w:rsidR="001F7F63" w:rsidRPr="00653D9D" w:rsidRDefault="002C1A3B" w:rsidP="005C62EE">
      <w:pPr>
        <w:pStyle w:val="Heading4"/>
      </w:pPr>
      <w:r w:rsidRPr="00653D9D">
        <w:t>2.5</w:t>
      </w:r>
      <w:bookmarkStart w:id="89" w:name="_Toc370223479"/>
      <w:bookmarkStart w:id="90" w:name="_Toc370225394"/>
      <w:bookmarkStart w:id="91" w:name="_Toc300761897"/>
      <w:bookmarkStart w:id="92" w:name="_Toc300933440"/>
      <w:r w:rsidR="005C62EE" w:rsidRPr="00653D9D">
        <w:t>.1.4</w:t>
      </w:r>
      <w:r w:rsidR="005C62EE" w:rsidRPr="00653D9D">
        <w:tab/>
        <w:t>Any other relevant matters</w:t>
      </w:r>
    </w:p>
    <w:p w14:paraId="314F9933" w14:textId="77777777" w:rsidR="001F7F63" w:rsidRPr="00653D9D" w:rsidRDefault="001F7F63" w:rsidP="001F7F63">
      <w:pPr>
        <w:rPr>
          <w:lang w:bidi="ar-SA"/>
        </w:rPr>
      </w:pPr>
      <w:r w:rsidRPr="00653D9D">
        <w:t>Other relevant matters are considered below</w:t>
      </w:r>
      <w:r w:rsidRPr="00653D9D">
        <w:rPr>
          <w:lang w:bidi="ar-SA"/>
        </w:rPr>
        <w:t>.</w:t>
      </w:r>
      <w:r w:rsidRPr="00653D9D">
        <w:t xml:space="preserve"> </w:t>
      </w:r>
    </w:p>
    <w:p w14:paraId="314F9934" w14:textId="77777777" w:rsidR="002C1A3B" w:rsidRPr="00653D9D" w:rsidRDefault="002C1A3B" w:rsidP="002C1A3B">
      <w:pPr>
        <w:pStyle w:val="Heading3"/>
      </w:pPr>
      <w:bookmarkStart w:id="93" w:name="_Toc471478810"/>
      <w:bookmarkStart w:id="94" w:name="_Toc471478947"/>
      <w:r w:rsidRPr="00653D9D">
        <w:t>2.5.2.</w:t>
      </w:r>
      <w:r w:rsidRPr="00653D9D">
        <w:tab/>
        <w:t>Subsection 18(1)</w:t>
      </w:r>
      <w:bookmarkEnd w:id="89"/>
      <w:bookmarkEnd w:id="90"/>
      <w:bookmarkEnd w:id="93"/>
      <w:bookmarkEnd w:id="94"/>
      <w:r w:rsidRPr="00653D9D">
        <w:t xml:space="preserve"> </w:t>
      </w:r>
      <w:bookmarkEnd w:id="91"/>
      <w:bookmarkEnd w:id="92"/>
    </w:p>
    <w:p w14:paraId="314F9935" w14:textId="096549E4" w:rsidR="001C76CF" w:rsidRPr="00653D9D" w:rsidRDefault="002C1A3B" w:rsidP="001C76CF">
      <w:pPr>
        <w:ind w:right="-428"/>
      </w:pPr>
      <w:r w:rsidRPr="00653D9D">
        <w:rPr>
          <w:rFonts w:cs="Arial"/>
        </w:rPr>
        <w:t xml:space="preserve">FSANZ has also </w:t>
      </w:r>
      <w:r w:rsidRPr="00653D9D">
        <w:t>considered the three objectives in subsection 18(1) of the FSANZ Act during the assessment.</w:t>
      </w:r>
      <w:r w:rsidR="001C76CF" w:rsidRPr="00653D9D">
        <w:t xml:space="preserve"> FSANZ is satisfied that the </w:t>
      </w:r>
      <w:r w:rsidR="00A10D52">
        <w:t>approved draft variation</w:t>
      </w:r>
      <w:r w:rsidR="001C76CF" w:rsidRPr="00653D9D">
        <w:t xml:space="preserve"> </w:t>
      </w:r>
      <w:r w:rsidR="00A10D52">
        <w:t>will</w:t>
      </w:r>
      <w:r w:rsidR="00A10D52" w:rsidRPr="00653D9D">
        <w:t xml:space="preserve"> </w:t>
      </w:r>
      <w:r w:rsidR="001C76CF" w:rsidRPr="00653D9D">
        <w:t>not have any impact on measures in place for:</w:t>
      </w:r>
    </w:p>
    <w:p w14:paraId="314F9936" w14:textId="77777777" w:rsidR="001C76CF" w:rsidRPr="00653D9D" w:rsidRDefault="001C76CF" w:rsidP="001C76CF"/>
    <w:p w14:paraId="314F9937" w14:textId="77777777" w:rsidR="001C76CF" w:rsidRPr="00653D9D" w:rsidRDefault="001C76CF" w:rsidP="001C76CF">
      <w:pPr>
        <w:pStyle w:val="FSBullet1"/>
        <w:rPr>
          <w:lang w:eastAsia="en-AU"/>
        </w:rPr>
      </w:pPr>
      <w:r w:rsidRPr="00653D9D">
        <w:rPr>
          <w:lang w:eastAsia="en-AU"/>
        </w:rPr>
        <w:t>the protection of public health and safety</w:t>
      </w:r>
    </w:p>
    <w:p w14:paraId="314F9938" w14:textId="77777777" w:rsidR="001C76CF" w:rsidRPr="00653D9D" w:rsidRDefault="001C76CF" w:rsidP="001C76CF">
      <w:pPr>
        <w:pStyle w:val="FSBullet1"/>
        <w:rPr>
          <w:lang w:eastAsia="en-AU"/>
        </w:rPr>
      </w:pPr>
      <w:r w:rsidRPr="00653D9D">
        <w:rPr>
          <w:lang w:eastAsia="en-AU"/>
        </w:rPr>
        <w:t>the provision of adequate information relating to food to enable consumers to make informed choices</w:t>
      </w:r>
    </w:p>
    <w:p w14:paraId="314F9939" w14:textId="77777777" w:rsidR="001C76CF" w:rsidRPr="00653D9D" w:rsidRDefault="001C76CF" w:rsidP="001C76CF">
      <w:pPr>
        <w:pStyle w:val="FSBullet1"/>
        <w:rPr>
          <w:lang w:eastAsia="en-AU"/>
        </w:rPr>
      </w:pPr>
      <w:r w:rsidRPr="00653D9D">
        <w:rPr>
          <w:lang w:eastAsia="en-AU"/>
        </w:rPr>
        <w:t>the prevention of misleading or deceptive conduct</w:t>
      </w:r>
    </w:p>
    <w:p w14:paraId="314F993A" w14:textId="77777777" w:rsidR="002C1A3B" w:rsidRPr="00653D9D" w:rsidRDefault="002C1A3B" w:rsidP="002C1A3B">
      <w:pPr>
        <w:keepNext/>
        <w:spacing w:before="240" w:after="240"/>
        <w:ind w:left="851" w:hanging="851"/>
        <w:outlineLvl w:val="2"/>
        <w:rPr>
          <w:b/>
          <w:bCs/>
          <w:lang w:eastAsia="en-AU" w:bidi="ar-SA"/>
        </w:rPr>
      </w:pPr>
      <w:bookmarkStart w:id="95" w:name="_Toc300761901"/>
      <w:bookmarkStart w:id="96" w:name="_Toc300933444"/>
      <w:bookmarkStart w:id="97" w:name="_Toc370223480"/>
      <w:bookmarkStart w:id="98" w:name="_Toc370225395"/>
      <w:r w:rsidRPr="00653D9D">
        <w:rPr>
          <w:b/>
          <w:bCs/>
          <w:lang w:eastAsia="en-AU" w:bidi="ar-SA"/>
        </w:rPr>
        <w:t>2.5.3</w:t>
      </w:r>
      <w:r w:rsidRPr="00653D9D">
        <w:rPr>
          <w:b/>
          <w:bCs/>
          <w:lang w:eastAsia="en-AU" w:bidi="ar-SA"/>
        </w:rPr>
        <w:tab/>
        <w:t xml:space="preserve">Subsection 18(2) </w:t>
      </w:r>
      <w:bookmarkEnd w:id="95"/>
      <w:bookmarkEnd w:id="96"/>
      <w:r w:rsidRPr="00653D9D">
        <w:rPr>
          <w:b/>
          <w:bCs/>
          <w:lang w:eastAsia="en-AU" w:bidi="ar-SA"/>
        </w:rPr>
        <w:t>considerations</w:t>
      </w:r>
      <w:bookmarkEnd w:id="97"/>
      <w:bookmarkEnd w:id="98"/>
    </w:p>
    <w:p w14:paraId="314F993B" w14:textId="77777777" w:rsidR="001C76CF" w:rsidRPr="00653D9D" w:rsidRDefault="001C76CF" w:rsidP="001C76CF">
      <w:pPr>
        <w:rPr>
          <w:rFonts w:cs="Arial"/>
        </w:rPr>
      </w:pPr>
      <w:r w:rsidRPr="00653D9D">
        <w:rPr>
          <w:rFonts w:cs="Arial"/>
        </w:rPr>
        <w:t>FSANZ has also had regard to:</w:t>
      </w:r>
    </w:p>
    <w:p w14:paraId="314F993C" w14:textId="77777777" w:rsidR="001C76CF" w:rsidRPr="00653D9D" w:rsidRDefault="001C76CF" w:rsidP="001C76CF">
      <w:pPr>
        <w:rPr>
          <w:rFonts w:cs="Arial"/>
        </w:rPr>
      </w:pPr>
    </w:p>
    <w:p w14:paraId="314F993D" w14:textId="77777777" w:rsidR="001C76CF" w:rsidRPr="00653D9D" w:rsidRDefault="001C76CF" w:rsidP="001C76CF">
      <w:pPr>
        <w:pStyle w:val="FSBullet1"/>
      </w:pPr>
      <w:r w:rsidRPr="00653D9D">
        <w:t>the need for standards to be based on risk analysis using the best available scientific evidence</w:t>
      </w:r>
    </w:p>
    <w:p w14:paraId="314F993E" w14:textId="77777777" w:rsidR="001C76CF" w:rsidRPr="00653D9D" w:rsidRDefault="001C76CF" w:rsidP="001C76CF">
      <w:pPr>
        <w:pStyle w:val="FSBullet1"/>
      </w:pPr>
      <w:r w:rsidRPr="00653D9D">
        <w:t>the promotion of consistency between domestic and international food standards</w:t>
      </w:r>
    </w:p>
    <w:p w14:paraId="314F993F" w14:textId="77777777" w:rsidR="001C76CF" w:rsidRPr="00653D9D" w:rsidRDefault="001C76CF" w:rsidP="001C76CF">
      <w:pPr>
        <w:pStyle w:val="FSBullet1"/>
      </w:pPr>
      <w:r w:rsidRPr="00653D9D">
        <w:t>the desirability of an efficient and internationally competitive food industry</w:t>
      </w:r>
    </w:p>
    <w:p w14:paraId="314F9940" w14:textId="77777777" w:rsidR="001C76CF" w:rsidRPr="00653D9D" w:rsidRDefault="001C76CF" w:rsidP="001C76CF">
      <w:pPr>
        <w:pStyle w:val="FSBullet1"/>
      </w:pPr>
      <w:r w:rsidRPr="00653D9D">
        <w:t>the promotion of fair trading in food</w:t>
      </w:r>
    </w:p>
    <w:p w14:paraId="314F9941" w14:textId="7032464B" w:rsidR="001C76CF" w:rsidRPr="00653D9D" w:rsidRDefault="001C76CF" w:rsidP="001C76CF">
      <w:pPr>
        <w:pStyle w:val="FSBullet1"/>
      </w:pPr>
      <w:r w:rsidRPr="00653D9D">
        <w:t xml:space="preserve">any written policy guidelines formulated by the </w:t>
      </w:r>
      <w:r w:rsidR="00A017EB" w:rsidRPr="00653D9D">
        <w:t>Australia and New Zealand Ministerial Forum on Food Regulation.</w:t>
      </w:r>
    </w:p>
    <w:p w14:paraId="314F9942" w14:textId="77777777" w:rsidR="001C76CF" w:rsidRPr="00653D9D" w:rsidRDefault="001C76CF" w:rsidP="001C76CF">
      <w:pPr>
        <w:widowControl/>
        <w:rPr>
          <w:rFonts w:cs="Arial"/>
          <w:lang w:bidi="ar-SA"/>
        </w:rPr>
      </w:pPr>
    </w:p>
    <w:p w14:paraId="314F9943" w14:textId="460D245A" w:rsidR="001C76CF" w:rsidRPr="00653D9D" w:rsidRDefault="001C76CF" w:rsidP="001C76CF">
      <w:pPr>
        <w:widowControl/>
        <w:rPr>
          <w:rFonts w:cs="Arial"/>
          <w:lang w:bidi="ar-SA"/>
        </w:rPr>
      </w:pPr>
      <w:r w:rsidRPr="00653D9D">
        <w:rPr>
          <w:rFonts w:cs="Arial"/>
          <w:lang w:bidi="ar-SA"/>
        </w:rPr>
        <w:t xml:space="preserve">In relation to the promotion of consistency between domestic and international food standards, several amendments update or include references to internationally recognised publications. The other issues are not </w:t>
      </w:r>
      <w:r w:rsidR="00A10D52">
        <w:rPr>
          <w:rFonts w:cs="Arial"/>
          <w:lang w:bidi="ar-SA"/>
        </w:rPr>
        <w:t xml:space="preserve">considered </w:t>
      </w:r>
      <w:r w:rsidRPr="00653D9D">
        <w:rPr>
          <w:rFonts w:cs="Arial"/>
          <w:lang w:bidi="ar-SA"/>
        </w:rPr>
        <w:t>relevant to this Proposal.</w:t>
      </w:r>
    </w:p>
    <w:p w14:paraId="314F9944" w14:textId="246745E5" w:rsidR="0012388D" w:rsidRPr="00653D9D" w:rsidRDefault="00D15A08" w:rsidP="00D5047D">
      <w:pPr>
        <w:keepNext/>
        <w:spacing w:before="240"/>
        <w:rPr>
          <w:b/>
          <w:sz w:val="28"/>
          <w:szCs w:val="28"/>
        </w:rPr>
      </w:pPr>
      <w:bookmarkStart w:id="99" w:name="_Toc11735643"/>
      <w:bookmarkStart w:id="100" w:name="_Toc29883130"/>
      <w:bookmarkStart w:id="101" w:name="_Toc41906817"/>
      <w:bookmarkStart w:id="102" w:name="_Toc41907564"/>
      <w:bookmarkStart w:id="103" w:name="_Toc43112360"/>
      <w:bookmarkEnd w:id="84"/>
      <w:r w:rsidRPr="00653D9D">
        <w:rPr>
          <w:b/>
          <w:sz w:val="28"/>
          <w:szCs w:val="28"/>
        </w:rPr>
        <w:t>A</w:t>
      </w:r>
      <w:bookmarkEnd w:id="99"/>
      <w:bookmarkEnd w:id="100"/>
      <w:bookmarkEnd w:id="101"/>
      <w:bookmarkEnd w:id="102"/>
      <w:bookmarkEnd w:id="103"/>
      <w:r w:rsidR="00B21055" w:rsidRPr="00653D9D">
        <w:rPr>
          <w:b/>
          <w:sz w:val="28"/>
          <w:szCs w:val="28"/>
        </w:rPr>
        <w:t>ttachments</w:t>
      </w:r>
    </w:p>
    <w:p w14:paraId="314F9945" w14:textId="77777777" w:rsidR="006C22A7" w:rsidRPr="00653D9D" w:rsidRDefault="006C22A7" w:rsidP="00D5047D">
      <w:pPr>
        <w:keepNext/>
      </w:pPr>
    </w:p>
    <w:p w14:paraId="314F9946" w14:textId="05B69F6C" w:rsidR="00795D86" w:rsidRPr="00653D9D" w:rsidRDefault="00755F02" w:rsidP="00456BD5">
      <w:pPr>
        <w:ind w:left="567" w:hanging="567"/>
      </w:pPr>
      <w:r w:rsidRPr="00653D9D">
        <w:t>A.</w:t>
      </w:r>
      <w:r w:rsidRPr="00653D9D">
        <w:tab/>
      </w:r>
      <w:r w:rsidR="009A2699" w:rsidRPr="00653D9D">
        <w:t xml:space="preserve">Approved </w:t>
      </w:r>
      <w:r w:rsidR="00E47D3B" w:rsidRPr="00653D9D">
        <w:t xml:space="preserve">draft </w:t>
      </w:r>
      <w:r w:rsidR="000576EB" w:rsidRPr="00653D9D">
        <w:t>variation to the</w:t>
      </w:r>
      <w:r w:rsidR="005E06C0" w:rsidRPr="00653D9D">
        <w:t xml:space="preserve"> </w:t>
      </w:r>
      <w:r w:rsidR="000576EB" w:rsidRPr="00653D9D">
        <w:rPr>
          <w:i/>
        </w:rPr>
        <w:t>Australia New Zealand Food Standards Code</w:t>
      </w:r>
      <w:r w:rsidR="005E06C0" w:rsidRPr="00653D9D">
        <w:rPr>
          <w:i/>
        </w:rPr>
        <w:t xml:space="preserve"> </w:t>
      </w:r>
    </w:p>
    <w:p w14:paraId="314F9947" w14:textId="77777777" w:rsidR="00456BD5" w:rsidRPr="00653D9D" w:rsidRDefault="00456BD5" w:rsidP="00456BD5">
      <w:pPr>
        <w:ind w:left="567" w:hanging="567"/>
      </w:pPr>
      <w:r w:rsidRPr="00653D9D">
        <w:t>B</w:t>
      </w:r>
      <w:r w:rsidR="00755F02" w:rsidRPr="00653D9D">
        <w:t>.</w:t>
      </w:r>
      <w:r w:rsidR="00755F02" w:rsidRPr="00653D9D">
        <w:tab/>
      </w:r>
      <w:r w:rsidRPr="00653D9D">
        <w:t xml:space="preserve">Explanatory Statement </w:t>
      </w:r>
    </w:p>
    <w:p w14:paraId="314F9948" w14:textId="27A3E05B" w:rsidR="006C22A7" w:rsidRPr="00653D9D" w:rsidRDefault="00456BD5" w:rsidP="00E47D3B">
      <w:pPr>
        <w:ind w:left="567" w:hanging="567"/>
      </w:pPr>
      <w:r w:rsidRPr="00653D9D">
        <w:t>C.</w:t>
      </w:r>
      <w:r w:rsidRPr="00653D9D">
        <w:tab/>
      </w:r>
      <w:r w:rsidR="00E47D3B" w:rsidRPr="00653D9D">
        <w:t>D</w:t>
      </w:r>
      <w:r w:rsidR="001C76CF" w:rsidRPr="00653D9D">
        <w:t>raft variation</w:t>
      </w:r>
      <w:r w:rsidR="00E47D3B" w:rsidRPr="00653D9D">
        <w:t xml:space="preserve"> to the </w:t>
      </w:r>
      <w:r w:rsidR="00E47D3B" w:rsidRPr="00653D9D">
        <w:rPr>
          <w:i/>
        </w:rPr>
        <w:t xml:space="preserve">Australia New Zealand Food Standards Code </w:t>
      </w:r>
      <w:r w:rsidR="00E47D3B" w:rsidRPr="00653D9D">
        <w:t>(call for submissions)</w:t>
      </w:r>
    </w:p>
    <w:p w14:paraId="314F9949" w14:textId="4D13264B" w:rsidR="00456BD5" w:rsidRPr="00653D9D" w:rsidRDefault="003C4969" w:rsidP="00456BD5">
      <w:pPr>
        <w:pStyle w:val="Heading2"/>
        <w:ind w:left="0" w:firstLine="0"/>
      </w:pPr>
      <w:r w:rsidRPr="00653D9D">
        <w:br w:type="page"/>
      </w:r>
      <w:bookmarkStart w:id="104" w:name="_Toc29883131"/>
      <w:bookmarkStart w:id="105" w:name="_Toc41906818"/>
      <w:bookmarkStart w:id="106" w:name="_Toc41907565"/>
      <w:bookmarkStart w:id="107" w:name="_Toc120358596"/>
      <w:bookmarkStart w:id="108" w:name="_Toc175381458"/>
      <w:bookmarkStart w:id="109" w:name="_Toc11735644"/>
      <w:bookmarkStart w:id="110" w:name="_Toc471478811"/>
      <w:bookmarkStart w:id="111" w:name="_Toc471478948"/>
      <w:r w:rsidRPr="00653D9D">
        <w:lastRenderedPageBreak/>
        <w:t xml:space="preserve">Attachment </w:t>
      </w:r>
      <w:bookmarkEnd w:id="104"/>
      <w:bookmarkEnd w:id="105"/>
      <w:bookmarkEnd w:id="106"/>
      <w:bookmarkEnd w:id="107"/>
      <w:bookmarkEnd w:id="108"/>
      <w:r w:rsidR="00456B54" w:rsidRPr="00653D9D">
        <w:t>A</w:t>
      </w:r>
      <w:bookmarkStart w:id="112" w:name="_Toc120358597"/>
      <w:bookmarkStart w:id="113" w:name="_Toc175381459"/>
      <w:bookmarkEnd w:id="109"/>
      <w:r w:rsidR="00755F02" w:rsidRPr="00653D9D">
        <w:t xml:space="preserve"> –</w:t>
      </w:r>
      <w:bookmarkStart w:id="114" w:name="_Toc120358598"/>
      <w:bookmarkStart w:id="115" w:name="_Toc175381460"/>
      <w:bookmarkEnd w:id="112"/>
      <w:bookmarkEnd w:id="113"/>
      <w:r w:rsidR="005E06C0" w:rsidRPr="00653D9D">
        <w:t xml:space="preserve"> </w:t>
      </w:r>
      <w:r w:rsidR="00456BD5" w:rsidRPr="00653D9D">
        <w:t xml:space="preserve">Approved draft variation to the </w:t>
      </w:r>
      <w:r w:rsidR="00456BD5" w:rsidRPr="00653D9D">
        <w:rPr>
          <w:i/>
        </w:rPr>
        <w:t>Australia New Zealand Food Standards Code</w:t>
      </w:r>
      <w:bookmarkEnd w:id="110"/>
      <w:bookmarkEnd w:id="111"/>
      <w:r w:rsidR="00456BD5" w:rsidRPr="00653D9D">
        <w:rPr>
          <w:i/>
        </w:rPr>
        <w:t xml:space="preserve"> </w:t>
      </w:r>
    </w:p>
    <w:p w14:paraId="3E61F090" w14:textId="77777777" w:rsidR="002D2FC9" w:rsidRPr="00653D9D" w:rsidRDefault="002D2FC9" w:rsidP="002D2FC9">
      <w:pPr>
        <w:tabs>
          <w:tab w:val="left" w:pos="851"/>
        </w:tabs>
        <w:rPr>
          <w:noProof/>
          <w:sz w:val="20"/>
          <w:szCs w:val="20"/>
          <w:lang w:eastAsia="en-AU" w:bidi="ar-SA"/>
        </w:rPr>
      </w:pPr>
      <w:r w:rsidRPr="00653D9D">
        <w:rPr>
          <w:noProof/>
          <w:sz w:val="20"/>
          <w:szCs w:val="20"/>
          <w:lang w:eastAsia="en-GB" w:bidi="ar-SA"/>
        </w:rPr>
        <w:drawing>
          <wp:inline distT="0" distB="0" distL="0" distR="0" wp14:anchorId="34A5389C" wp14:editId="4179839A">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E5697EF" w14:textId="77777777" w:rsidR="002D2FC9" w:rsidRPr="00653D9D" w:rsidRDefault="002D2FC9" w:rsidP="002D2FC9">
      <w:pPr>
        <w:pBdr>
          <w:bottom w:val="single" w:sz="4" w:space="1" w:color="auto"/>
        </w:pBdr>
        <w:tabs>
          <w:tab w:val="left" w:pos="851"/>
        </w:tabs>
        <w:jc w:val="center"/>
        <w:rPr>
          <w:sz w:val="20"/>
          <w:szCs w:val="20"/>
          <w:lang w:bidi="ar-SA"/>
        </w:rPr>
      </w:pPr>
    </w:p>
    <w:p w14:paraId="5E14A636" w14:textId="6AC354F8" w:rsidR="006C4BA4" w:rsidRPr="00B542C5" w:rsidRDefault="006C4BA4" w:rsidP="006C4BA4">
      <w:pPr>
        <w:pBdr>
          <w:bottom w:val="single" w:sz="4" w:space="1" w:color="auto"/>
        </w:pBdr>
        <w:tabs>
          <w:tab w:val="left" w:pos="851"/>
        </w:tabs>
        <w:rPr>
          <w:b/>
          <w:color w:val="FF0000"/>
          <w:sz w:val="20"/>
          <w:szCs w:val="20"/>
          <w:lang w:bidi="ar-SA"/>
        </w:rPr>
      </w:pPr>
      <w:r w:rsidRPr="00304930">
        <w:rPr>
          <w:b/>
          <w:sz w:val="20"/>
          <w:szCs w:val="20"/>
          <w:lang w:bidi="ar-SA"/>
        </w:rPr>
        <w:t xml:space="preserve">Food Standards </w:t>
      </w:r>
      <w:r>
        <w:rPr>
          <w:b/>
          <w:sz w:val="20"/>
          <w:szCs w:val="20"/>
          <w:lang w:bidi="ar-SA"/>
        </w:rPr>
        <w:t>(Proposal P1048</w:t>
      </w:r>
      <w:r w:rsidRPr="00304930">
        <w:rPr>
          <w:b/>
          <w:sz w:val="20"/>
          <w:szCs w:val="20"/>
          <w:lang w:bidi="ar-SA"/>
        </w:rPr>
        <w:t xml:space="preserve"> – Code Revision </w:t>
      </w:r>
      <w:r>
        <w:rPr>
          <w:b/>
          <w:sz w:val="20"/>
          <w:szCs w:val="20"/>
          <w:lang w:bidi="ar-SA"/>
        </w:rPr>
        <w:t>(2018)</w:t>
      </w:r>
      <w:r w:rsidRPr="00304930">
        <w:rPr>
          <w:b/>
          <w:sz w:val="20"/>
          <w:szCs w:val="20"/>
          <w:lang w:bidi="ar-SA"/>
        </w:rPr>
        <w:t>) Variation</w:t>
      </w:r>
    </w:p>
    <w:p w14:paraId="59394453" w14:textId="77777777" w:rsidR="006C4BA4" w:rsidRPr="00B542C5" w:rsidRDefault="006C4BA4" w:rsidP="006C4BA4">
      <w:pPr>
        <w:tabs>
          <w:tab w:val="left" w:pos="851"/>
        </w:tabs>
        <w:rPr>
          <w:color w:val="FF0000"/>
          <w:sz w:val="20"/>
          <w:szCs w:val="20"/>
          <w:lang w:bidi="ar-SA"/>
        </w:rPr>
      </w:pPr>
    </w:p>
    <w:p w14:paraId="04FF14C6" w14:textId="77777777" w:rsidR="006C4BA4" w:rsidRPr="00B542C5" w:rsidRDefault="006C4BA4" w:rsidP="006C4BA4">
      <w:pPr>
        <w:tabs>
          <w:tab w:val="left" w:pos="851"/>
        </w:tabs>
        <w:rPr>
          <w:sz w:val="20"/>
          <w:szCs w:val="20"/>
          <w:lang w:bidi="ar-SA"/>
        </w:rPr>
      </w:pPr>
      <w:r w:rsidRPr="00B542C5">
        <w:rPr>
          <w:sz w:val="20"/>
          <w:szCs w:val="20"/>
          <w:lang w:bidi="ar-SA"/>
        </w:rPr>
        <w:t xml:space="preserve">The Board of Food Standards Australia New Zealand gives notice of the making of this variation under section 92 of the </w:t>
      </w:r>
      <w:r w:rsidRPr="00B542C5">
        <w:rPr>
          <w:i/>
          <w:sz w:val="20"/>
          <w:szCs w:val="20"/>
          <w:lang w:bidi="ar-SA"/>
        </w:rPr>
        <w:t>Food Standards Australia New Zealand Act 1991</w:t>
      </w:r>
      <w:r w:rsidRPr="00B542C5">
        <w:rPr>
          <w:sz w:val="20"/>
          <w:szCs w:val="20"/>
          <w:lang w:bidi="ar-SA"/>
        </w:rPr>
        <w:t>.  The Standard commences on the date specified in clause 3 of this variation.</w:t>
      </w:r>
    </w:p>
    <w:p w14:paraId="48CCA3A1" w14:textId="77777777" w:rsidR="006C4BA4" w:rsidRPr="00B542C5" w:rsidRDefault="006C4BA4" w:rsidP="006C4BA4">
      <w:pPr>
        <w:tabs>
          <w:tab w:val="left" w:pos="851"/>
        </w:tabs>
        <w:rPr>
          <w:sz w:val="20"/>
          <w:szCs w:val="20"/>
          <w:lang w:bidi="ar-SA"/>
        </w:rPr>
      </w:pPr>
    </w:p>
    <w:p w14:paraId="6DAE3E10" w14:textId="77777777" w:rsidR="006C4BA4" w:rsidRPr="00B542C5" w:rsidRDefault="006C4BA4" w:rsidP="006C4BA4">
      <w:pPr>
        <w:tabs>
          <w:tab w:val="left" w:pos="851"/>
        </w:tabs>
        <w:rPr>
          <w:sz w:val="20"/>
          <w:szCs w:val="20"/>
          <w:lang w:bidi="ar-SA"/>
        </w:rPr>
      </w:pPr>
      <w:r w:rsidRPr="00B542C5">
        <w:rPr>
          <w:sz w:val="20"/>
          <w:szCs w:val="20"/>
          <w:lang w:bidi="ar-SA"/>
        </w:rPr>
        <w:t xml:space="preserve">Dated </w:t>
      </w:r>
      <w:r w:rsidRPr="00B813BC">
        <w:rPr>
          <w:sz w:val="20"/>
          <w:szCs w:val="20"/>
          <w:lang w:bidi="ar-SA"/>
        </w:rPr>
        <w:t>[To be completed by the Delegate]</w:t>
      </w:r>
    </w:p>
    <w:p w14:paraId="508FDF34" w14:textId="77777777" w:rsidR="006C4BA4" w:rsidRPr="00B542C5" w:rsidRDefault="006C4BA4" w:rsidP="006C4BA4">
      <w:pPr>
        <w:tabs>
          <w:tab w:val="left" w:pos="851"/>
        </w:tabs>
        <w:rPr>
          <w:sz w:val="20"/>
          <w:szCs w:val="20"/>
          <w:lang w:bidi="ar-SA"/>
        </w:rPr>
      </w:pPr>
    </w:p>
    <w:p w14:paraId="3A729D3E" w14:textId="77777777" w:rsidR="006C4BA4" w:rsidRPr="00B542C5" w:rsidRDefault="006C4BA4" w:rsidP="006C4BA4">
      <w:pPr>
        <w:tabs>
          <w:tab w:val="left" w:pos="851"/>
        </w:tabs>
        <w:rPr>
          <w:sz w:val="20"/>
          <w:szCs w:val="20"/>
          <w:lang w:bidi="ar-SA"/>
        </w:rPr>
      </w:pPr>
    </w:p>
    <w:p w14:paraId="5A0714B6" w14:textId="77777777" w:rsidR="006C4BA4" w:rsidRPr="00B542C5" w:rsidRDefault="006C4BA4" w:rsidP="006C4BA4">
      <w:pPr>
        <w:tabs>
          <w:tab w:val="left" w:pos="851"/>
        </w:tabs>
        <w:rPr>
          <w:sz w:val="20"/>
          <w:szCs w:val="20"/>
          <w:lang w:bidi="ar-SA"/>
        </w:rPr>
      </w:pPr>
    </w:p>
    <w:p w14:paraId="5CB26501" w14:textId="77777777" w:rsidR="006C4BA4" w:rsidRPr="00B542C5" w:rsidRDefault="006C4BA4" w:rsidP="006C4BA4">
      <w:pPr>
        <w:tabs>
          <w:tab w:val="left" w:pos="851"/>
        </w:tabs>
        <w:rPr>
          <w:sz w:val="20"/>
          <w:szCs w:val="20"/>
          <w:lang w:bidi="ar-SA"/>
        </w:rPr>
      </w:pPr>
    </w:p>
    <w:p w14:paraId="42D9BDDE" w14:textId="77777777" w:rsidR="006C4BA4" w:rsidRPr="00B542C5" w:rsidRDefault="006C4BA4" w:rsidP="006C4BA4">
      <w:pPr>
        <w:tabs>
          <w:tab w:val="left" w:pos="851"/>
        </w:tabs>
        <w:rPr>
          <w:sz w:val="20"/>
          <w:szCs w:val="20"/>
          <w:lang w:bidi="ar-SA"/>
        </w:rPr>
      </w:pPr>
    </w:p>
    <w:p w14:paraId="3655B3B5" w14:textId="7F6D26E5" w:rsidR="006C4BA4" w:rsidRPr="00B542C5" w:rsidRDefault="00B813BC" w:rsidP="006C4BA4">
      <w:pPr>
        <w:tabs>
          <w:tab w:val="left" w:pos="851"/>
        </w:tabs>
        <w:rPr>
          <w:sz w:val="20"/>
          <w:szCs w:val="20"/>
          <w:lang w:bidi="ar-SA"/>
        </w:rPr>
      </w:pPr>
      <w:r w:rsidRPr="00B813BC">
        <w:rPr>
          <w:sz w:val="20"/>
          <w:szCs w:val="20"/>
          <w:lang w:bidi="ar-SA"/>
        </w:rPr>
        <w:t>Standards Management Officer</w:t>
      </w:r>
    </w:p>
    <w:p w14:paraId="10DBFA3A" w14:textId="77777777" w:rsidR="006C4BA4" w:rsidRPr="00B542C5" w:rsidRDefault="006C4BA4" w:rsidP="006C4BA4">
      <w:pPr>
        <w:tabs>
          <w:tab w:val="left" w:pos="851"/>
        </w:tabs>
        <w:rPr>
          <w:sz w:val="20"/>
          <w:szCs w:val="20"/>
          <w:lang w:bidi="ar-SA"/>
        </w:rPr>
      </w:pPr>
      <w:r w:rsidRPr="00B542C5">
        <w:rPr>
          <w:sz w:val="20"/>
          <w:szCs w:val="20"/>
          <w:lang w:bidi="ar-SA"/>
        </w:rPr>
        <w:t>Delegate of the Board of Food Standards Australia New Zealand</w:t>
      </w:r>
    </w:p>
    <w:p w14:paraId="621B43E2" w14:textId="77777777" w:rsidR="006C4BA4" w:rsidRPr="00B542C5" w:rsidRDefault="006C4BA4" w:rsidP="006C4BA4">
      <w:pPr>
        <w:tabs>
          <w:tab w:val="left" w:pos="851"/>
        </w:tabs>
        <w:rPr>
          <w:sz w:val="20"/>
          <w:szCs w:val="20"/>
          <w:lang w:bidi="ar-SA"/>
        </w:rPr>
      </w:pPr>
    </w:p>
    <w:p w14:paraId="4B081383" w14:textId="77777777" w:rsidR="006C4BA4" w:rsidRPr="00B542C5" w:rsidRDefault="006C4BA4" w:rsidP="006C4BA4">
      <w:pPr>
        <w:tabs>
          <w:tab w:val="left" w:pos="851"/>
        </w:tabs>
        <w:rPr>
          <w:sz w:val="20"/>
          <w:szCs w:val="20"/>
          <w:lang w:bidi="ar-SA"/>
        </w:rPr>
      </w:pPr>
    </w:p>
    <w:p w14:paraId="0FE15D56" w14:textId="77777777" w:rsidR="006C4BA4" w:rsidRPr="00B542C5" w:rsidRDefault="006C4BA4" w:rsidP="006C4BA4">
      <w:pPr>
        <w:tabs>
          <w:tab w:val="left" w:pos="851"/>
        </w:tabs>
        <w:rPr>
          <w:sz w:val="20"/>
          <w:szCs w:val="20"/>
          <w:lang w:bidi="ar-SA"/>
        </w:rPr>
      </w:pPr>
    </w:p>
    <w:p w14:paraId="53C6706D" w14:textId="77777777" w:rsidR="006C4BA4" w:rsidRPr="00B542C5" w:rsidRDefault="006C4BA4" w:rsidP="006C4BA4">
      <w:pPr>
        <w:tabs>
          <w:tab w:val="left" w:pos="851"/>
        </w:tabs>
        <w:rPr>
          <w:sz w:val="20"/>
          <w:szCs w:val="20"/>
          <w:lang w:bidi="ar-SA"/>
        </w:rPr>
      </w:pPr>
    </w:p>
    <w:p w14:paraId="7ED3EAAC" w14:textId="77777777" w:rsidR="006C4BA4" w:rsidRPr="00B542C5" w:rsidRDefault="006C4BA4" w:rsidP="006C4BA4">
      <w:pPr>
        <w:tabs>
          <w:tab w:val="left" w:pos="851"/>
        </w:tabs>
        <w:rPr>
          <w:sz w:val="20"/>
          <w:szCs w:val="20"/>
          <w:lang w:bidi="ar-SA"/>
        </w:rPr>
      </w:pPr>
    </w:p>
    <w:p w14:paraId="22DEC9F6" w14:textId="77777777" w:rsidR="006C4BA4" w:rsidRPr="00B542C5" w:rsidRDefault="006C4BA4" w:rsidP="006C4BA4">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B542C5">
        <w:rPr>
          <w:b/>
          <w:sz w:val="20"/>
          <w:szCs w:val="20"/>
          <w:lang w:bidi="ar-SA"/>
        </w:rPr>
        <w:t xml:space="preserve">Note:  </w:t>
      </w:r>
    </w:p>
    <w:p w14:paraId="57F6B769" w14:textId="77777777" w:rsidR="006C4BA4" w:rsidRPr="00B542C5" w:rsidRDefault="006C4BA4" w:rsidP="006C4BA4">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2EE71734" w14:textId="29827E16" w:rsidR="006C4BA4" w:rsidRPr="00B542C5" w:rsidRDefault="006C4BA4" w:rsidP="006C4BA4">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B542C5">
        <w:rPr>
          <w:sz w:val="20"/>
          <w:szCs w:val="20"/>
          <w:lang w:bidi="ar-SA"/>
        </w:rPr>
        <w:t xml:space="preserve">This variation will be published in the Commonwealth of Australia Gazette No. FSC </w:t>
      </w:r>
      <w:r w:rsidRPr="00B813BC">
        <w:rPr>
          <w:color w:val="FF0000"/>
          <w:sz w:val="20"/>
          <w:szCs w:val="20"/>
          <w:highlight w:val="yellow"/>
          <w:lang w:bidi="ar-SA"/>
        </w:rPr>
        <w:t>XX on XX Month</w:t>
      </w:r>
      <w:r w:rsidRPr="00B813BC">
        <w:rPr>
          <w:color w:val="FF0000"/>
          <w:sz w:val="20"/>
          <w:szCs w:val="20"/>
          <w:lang w:bidi="ar-SA"/>
        </w:rPr>
        <w:t xml:space="preserve"> 20</w:t>
      </w:r>
      <w:r w:rsidR="00B813BC">
        <w:rPr>
          <w:color w:val="FF0000"/>
          <w:sz w:val="20"/>
          <w:szCs w:val="20"/>
          <w:lang w:bidi="ar-SA"/>
        </w:rPr>
        <w:t>XX</w:t>
      </w:r>
      <w:r w:rsidRPr="00B542C5">
        <w:rPr>
          <w:sz w:val="20"/>
          <w:szCs w:val="20"/>
          <w:lang w:bidi="ar-SA"/>
        </w:rPr>
        <w:t xml:space="preserve">. This means that this date is the gazettal date for the purposes of clause 3 of the variation. </w:t>
      </w:r>
    </w:p>
    <w:p w14:paraId="7A30A696" w14:textId="77777777" w:rsidR="002D2FC9" w:rsidRPr="00653D9D" w:rsidRDefault="002D2FC9" w:rsidP="002D2FC9">
      <w:pPr>
        <w:tabs>
          <w:tab w:val="left" w:pos="851"/>
        </w:tabs>
        <w:rPr>
          <w:sz w:val="20"/>
          <w:szCs w:val="20"/>
          <w:lang w:bidi="ar-SA"/>
        </w:rPr>
      </w:pPr>
    </w:p>
    <w:p w14:paraId="3773B510" w14:textId="77777777" w:rsidR="002D2FC9" w:rsidRPr="00653D9D" w:rsidRDefault="002D2FC9" w:rsidP="002D2FC9">
      <w:pPr>
        <w:widowControl/>
        <w:rPr>
          <w:sz w:val="20"/>
          <w:szCs w:val="20"/>
          <w:lang w:bidi="ar-SA"/>
        </w:rPr>
      </w:pPr>
      <w:r w:rsidRPr="00653D9D">
        <w:rPr>
          <w:sz w:val="20"/>
          <w:szCs w:val="20"/>
          <w:lang w:bidi="ar-SA"/>
        </w:rPr>
        <w:br w:type="page"/>
      </w:r>
    </w:p>
    <w:p w14:paraId="7B9957BC" w14:textId="77777777" w:rsidR="006C4BA4" w:rsidRPr="00B542C5" w:rsidRDefault="006C4BA4" w:rsidP="006C4BA4">
      <w:pPr>
        <w:pStyle w:val="FSCDraftingitemheading"/>
      </w:pPr>
      <w:r w:rsidRPr="00B542C5">
        <w:lastRenderedPageBreak/>
        <w:t>1</w:t>
      </w:r>
      <w:r w:rsidRPr="00B542C5">
        <w:tab/>
        <w:t>Name</w:t>
      </w:r>
    </w:p>
    <w:p w14:paraId="44C7B67E" w14:textId="77777777" w:rsidR="006C4BA4" w:rsidRPr="00B542C5" w:rsidRDefault="006C4BA4" w:rsidP="006C4BA4">
      <w:pPr>
        <w:pStyle w:val="FSCDraftingitem"/>
        <w:rPr>
          <w:color w:val="FF0000"/>
        </w:rPr>
      </w:pPr>
      <w:r w:rsidRPr="00B542C5">
        <w:t xml:space="preserve">This instrument is the </w:t>
      </w:r>
      <w:r w:rsidRPr="00B542C5">
        <w:rPr>
          <w:i/>
        </w:rPr>
        <w:t xml:space="preserve">Food </w:t>
      </w:r>
      <w:r w:rsidRPr="005C0C2D">
        <w:rPr>
          <w:i/>
        </w:rPr>
        <w:t>Standards (Proposal P</w:t>
      </w:r>
      <w:r>
        <w:rPr>
          <w:i/>
        </w:rPr>
        <w:t>1048</w:t>
      </w:r>
      <w:r w:rsidRPr="005C0C2D">
        <w:rPr>
          <w:i/>
        </w:rPr>
        <w:t xml:space="preserve"> – Code Revision </w:t>
      </w:r>
      <w:r>
        <w:rPr>
          <w:i/>
        </w:rPr>
        <w:t>(2018)</w:t>
      </w:r>
      <w:r w:rsidRPr="005C0C2D">
        <w:rPr>
          <w:i/>
        </w:rPr>
        <w:t xml:space="preserve">) </w:t>
      </w:r>
      <w:r w:rsidRPr="00B542C5">
        <w:rPr>
          <w:i/>
        </w:rPr>
        <w:t>Variation</w:t>
      </w:r>
      <w:r w:rsidRPr="00B542C5">
        <w:t>.</w:t>
      </w:r>
    </w:p>
    <w:p w14:paraId="3CB0C888" w14:textId="77777777" w:rsidR="006C4BA4" w:rsidRPr="00B542C5" w:rsidRDefault="006C4BA4" w:rsidP="006C4BA4">
      <w:pPr>
        <w:pStyle w:val="FSCDraftingitemheading"/>
      </w:pPr>
      <w:r w:rsidRPr="00B542C5">
        <w:t>2</w:t>
      </w:r>
      <w:r w:rsidRPr="00B542C5">
        <w:tab/>
        <w:t xml:space="preserve">Variation to standards in the </w:t>
      </w:r>
      <w:r w:rsidRPr="00B542C5">
        <w:rPr>
          <w:i/>
        </w:rPr>
        <w:t>Australia New Zealand Food Standards Code</w:t>
      </w:r>
    </w:p>
    <w:p w14:paraId="6509CB31" w14:textId="77777777" w:rsidR="006C4BA4" w:rsidRPr="00B542C5" w:rsidRDefault="006C4BA4" w:rsidP="006C4BA4">
      <w:pPr>
        <w:pStyle w:val="FSCDraftingitem"/>
      </w:pPr>
      <w:r w:rsidRPr="00B542C5">
        <w:t xml:space="preserve">The Schedule varies Standards in the </w:t>
      </w:r>
      <w:r w:rsidRPr="00B542C5">
        <w:rPr>
          <w:i/>
        </w:rPr>
        <w:t>Australia New Zealand Food Standards Code</w:t>
      </w:r>
      <w:r w:rsidRPr="00B542C5">
        <w:t>.</w:t>
      </w:r>
    </w:p>
    <w:p w14:paraId="43C50312" w14:textId="77777777" w:rsidR="006C4BA4" w:rsidRPr="00B542C5" w:rsidRDefault="006C4BA4" w:rsidP="006C4BA4">
      <w:pPr>
        <w:pStyle w:val="FSCDraftingitemheading"/>
      </w:pPr>
      <w:r w:rsidRPr="00B542C5">
        <w:t>3</w:t>
      </w:r>
      <w:r w:rsidRPr="00B542C5">
        <w:tab/>
        <w:t>Commencement</w:t>
      </w:r>
    </w:p>
    <w:p w14:paraId="7813B56F" w14:textId="77777777" w:rsidR="006C4BA4" w:rsidRDefault="006C4BA4" w:rsidP="006C4BA4">
      <w:pPr>
        <w:pStyle w:val="FSCDraftingitem"/>
      </w:pPr>
      <w:r w:rsidRPr="00653D9D">
        <w:t xml:space="preserve">The variation commences on </w:t>
      </w:r>
      <w:r>
        <w:t>the date of gazettal.</w:t>
      </w:r>
    </w:p>
    <w:p w14:paraId="272452BF" w14:textId="77777777" w:rsidR="006C4BA4" w:rsidRPr="00653D9D" w:rsidRDefault="006C4BA4" w:rsidP="006C4BA4">
      <w:pPr>
        <w:pStyle w:val="FSCDraftingitem"/>
      </w:pPr>
    </w:p>
    <w:p w14:paraId="378720C2" w14:textId="77777777" w:rsidR="006C4BA4" w:rsidRPr="00653D9D" w:rsidRDefault="006C4BA4" w:rsidP="006C4BA4">
      <w:pPr>
        <w:pStyle w:val="FSCDraftingitemheading"/>
        <w:jc w:val="center"/>
      </w:pPr>
      <w:r w:rsidRPr="00653D9D">
        <w:t>SCHEDULE</w:t>
      </w:r>
    </w:p>
    <w:p w14:paraId="5600953B" w14:textId="77777777" w:rsidR="006C4BA4" w:rsidRPr="008507EE" w:rsidRDefault="006C4BA4" w:rsidP="006C4BA4">
      <w:pPr>
        <w:pStyle w:val="FSCh5Section"/>
      </w:pPr>
      <w:r w:rsidRPr="008507EE">
        <w:t xml:space="preserve">Standard 1.1.1 – Structure of the Code and general provisions </w:t>
      </w:r>
    </w:p>
    <w:p w14:paraId="6F69E1B5" w14:textId="77777777" w:rsidR="006C4BA4" w:rsidRPr="008507EE" w:rsidRDefault="006C4BA4" w:rsidP="006C4BA4">
      <w:pPr>
        <w:pStyle w:val="FSCDraftingitemheading"/>
      </w:pPr>
      <w:r w:rsidRPr="008507EE">
        <w:t>[1]</w:t>
      </w:r>
      <w:r w:rsidRPr="008507EE">
        <w:tab/>
        <w:t>Subsection 1.1.1—2(2)</w:t>
      </w:r>
    </w:p>
    <w:p w14:paraId="4C04BE76" w14:textId="77777777" w:rsidR="006C4BA4" w:rsidRPr="008507EE" w:rsidRDefault="006C4BA4" w:rsidP="006C4BA4">
      <w:pPr>
        <w:pStyle w:val="FSCDraftingitem"/>
      </w:pPr>
      <w:r w:rsidRPr="008507EE">
        <w:tab/>
        <w:t>Omit</w:t>
      </w:r>
    </w:p>
    <w:p w14:paraId="6D0B894F" w14:textId="77777777" w:rsidR="006C4BA4" w:rsidRPr="008507EE" w:rsidRDefault="006C4BA4" w:rsidP="006C4BA4">
      <w:pPr>
        <w:pStyle w:val="FSCoutStand"/>
      </w:pPr>
      <w:r w:rsidRPr="008507EE">
        <w:rPr>
          <w:rFonts w:cs="Times New Roman"/>
        </w:rPr>
        <w:tab/>
      </w:r>
      <w:r w:rsidRPr="008507EE">
        <w:t>Schedule 22</w:t>
      </w:r>
      <w:r w:rsidRPr="008507EE">
        <w:tab/>
        <w:t>Foods and classes of foods</w:t>
      </w:r>
    </w:p>
    <w:p w14:paraId="6E9F90BC" w14:textId="77777777" w:rsidR="006C4BA4" w:rsidRPr="008507EE" w:rsidRDefault="006C4BA4" w:rsidP="006C4BA4">
      <w:pPr>
        <w:pStyle w:val="FSCnMain"/>
      </w:pPr>
      <w:r w:rsidRPr="008507EE">
        <w:rPr>
          <w:b/>
          <w:i/>
        </w:rPr>
        <w:tab/>
        <w:t>Note</w:t>
      </w:r>
      <w:r w:rsidRPr="008507EE">
        <w:tab/>
      </w:r>
      <w:r w:rsidRPr="008507EE">
        <w:tab/>
        <w:t>Applies in Australia only</w:t>
      </w:r>
    </w:p>
    <w:p w14:paraId="7A807202" w14:textId="77777777" w:rsidR="006C4BA4" w:rsidRPr="008507EE" w:rsidRDefault="006C4BA4" w:rsidP="006C4BA4">
      <w:pPr>
        <w:pStyle w:val="FSCDraftingitem"/>
      </w:pPr>
      <w:r w:rsidRPr="008507EE">
        <w:tab/>
        <w:t>substitute</w:t>
      </w:r>
    </w:p>
    <w:p w14:paraId="2CA29E5B" w14:textId="77777777" w:rsidR="006C4BA4" w:rsidRPr="008507EE" w:rsidRDefault="006C4BA4" w:rsidP="006C4BA4">
      <w:pPr>
        <w:pStyle w:val="FSCoutStand"/>
      </w:pPr>
      <w:r w:rsidRPr="008507EE">
        <w:rPr>
          <w:rFonts w:cs="Times New Roman"/>
        </w:rPr>
        <w:tab/>
      </w:r>
      <w:r w:rsidRPr="008507EE">
        <w:t>Schedule 22</w:t>
      </w:r>
      <w:r w:rsidRPr="008507EE">
        <w:tab/>
        <w:t>Foods and classes of foods</w:t>
      </w:r>
    </w:p>
    <w:p w14:paraId="75A1C4A0" w14:textId="77777777" w:rsidR="006C4BA4" w:rsidRPr="008507EE" w:rsidRDefault="006C4BA4" w:rsidP="006C4BA4">
      <w:pPr>
        <w:pStyle w:val="FSCh5Section"/>
      </w:pPr>
      <w:r w:rsidRPr="008507EE">
        <w:t>Standard 1.1.2 – Definitions used throughout the Code</w:t>
      </w:r>
    </w:p>
    <w:p w14:paraId="5A011779" w14:textId="1B7E2AE7" w:rsidR="006C4BA4" w:rsidRPr="008507EE" w:rsidRDefault="006C4BA4" w:rsidP="006C4BA4">
      <w:pPr>
        <w:pStyle w:val="FSCDraftingitemheading"/>
      </w:pPr>
      <w:r w:rsidRPr="008507EE">
        <w:t>[2]</w:t>
      </w:r>
      <w:r w:rsidRPr="008507EE">
        <w:tab/>
        <w:t>Subsection 1.1.2—2(3)</w:t>
      </w:r>
      <w:r w:rsidR="009C3174">
        <w:t xml:space="preserve"> (</w:t>
      </w:r>
      <w:r w:rsidR="00743D43">
        <w:t xml:space="preserve">definition of </w:t>
      </w:r>
      <w:r w:rsidR="00743D43" w:rsidRPr="00D56057">
        <w:rPr>
          <w:i/>
        </w:rPr>
        <w:t>permitted flavouring substance</w:t>
      </w:r>
      <w:r w:rsidR="009C3174">
        <w:t>)</w:t>
      </w:r>
    </w:p>
    <w:p w14:paraId="76EE65C7" w14:textId="629F95CB" w:rsidR="006C4BA4" w:rsidRPr="008507EE" w:rsidRDefault="006C4BA4" w:rsidP="006C4BA4">
      <w:pPr>
        <w:pStyle w:val="FSCDraftingitemheading"/>
        <w:rPr>
          <w:b w:val="0"/>
        </w:rPr>
      </w:pPr>
      <w:r w:rsidRPr="008507EE">
        <w:tab/>
      </w:r>
      <w:r w:rsidRPr="008507EE">
        <w:rPr>
          <w:b w:val="0"/>
        </w:rPr>
        <w:t>Omit ‘2015 (edition 27)’, substitute ‘201</w:t>
      </w:r>
      <w:r w:rsidR="00045730">
        <w:rPr>
          <w:b w:val="0"/>
        </w:rPr>
        <w:t>8</w:t>
      </w:r>
      <w:r w:rsidRPr="008507EE">
        <w:rPr>
          <w:b w:val="0"/>
        </w:rPr>
        <w:t xml:space="preserve"> (edition 28)’</w:t>
      </w:r>
    </w:p>
    <w:p w14:paraId="32C387EB" w14:textId="77777777" w:rsidR="006C4BA4" w:rsidRPr="008507EE" w:rsidRDefault="006C4BA4" w:rsidP="006C4BA4">
      <w:pPr>
        <w:pStyle w:val="FSCDraftingitemheading"/>
      </w:pPr>
      <w:r w:rsidRPr="008507EE">
        <w:t>[3]</w:t>
      </w:r>
      <w:r w:rsidRPr="008507EE">
        <w:tab/>
        <w:t>Subsection 1.1.2—9(1)(a)(i)</w:t>
      </w:r>
    </w:p>
    <w:p w14:paraId="12420955" w14:textId="77777777" w:rsidR="006C4BA4" w:rsidRPr="008507EE" w:rsidRDefault="006C4BA4" w:rsidP="006C4BA4">
      <w:pPr>
        <w:pStyle w:val="FSCDraftingitemheading"/>
        <w:rPr>
          <w:b w:val="0"/>
        </w:rPr>
      </w:pPr>
      <w:r w:rsidRPr="008507EE">
        <w:tab/>
      </w:r>
      <w:r w:rsidRPr="008507EE">
        <w:rPr>
          <w:b w:val="0"/>
        </w:rPr>
        <w:t>Omit ‘*fat’, substitute ‘fat’</w:t>
      </w:r>
    </w:p>
    <w:p w14:paraId="0A6CB5E2" w14:textId="77777777" w:rsidR="006C4BA4" w:rsidRPr="008507EE" w:rsidRDefault="006C4BA4" w:rsidP="006C4BA4">
      <w:pPr>
        <w:pStyle w:val="FSCh5Section"/>
      </w:pPr>
      <w:r w:rsidRPr="008507EE">
        <w:t>Standard 1.2.7 – Nutrition, health and related claims</w:t>
      </w:r>
    </w:p>
    <w:p w14:paraId="078A54D4" w14:textId="77777777" w:rsidR="006C4BA4" w:rsidRPr="008507EE" w:rsidRDefault="006C4BA4" w:rsidP="006C4BA4">
      <w:pPr>
        <w:pStyle w:val="FSCDraftingitemheading"/>
        <w:keepNext/>
      </w:pPr>
      <w:r w:rsidRPr="008507EE">
        <w:t>[4]</w:t>
      </w:r>
      <w:r w:rsidRPr="008507EE">
        <w:tab/>
        <w:t>Section 1.2.7—4</w:t>
      </w:r>
    </w:p>
    <w:p w14:paraId="60E5058E" w14:textId="77777777" w:rsidR="006C4BA4" w:rsidRPr="008507EE" w:rsidRDefault="006C4BA4" w:rsidP="006C4BA4">
      <w:pPr>
        <w:pStyle w:val="FSCDraftingitem"/>
      </w:pPr>
      <w:r w:rsidRPr="008507EE">
        <w:tab/>
        <w:t xml:space="preserve">Omit ‘*nutrition content claim’, substitute ‘nutrition content claim’ </w:t>
      </w:r>
    </w:p>
    <w:p w14:paraId="4D130FCC" w14:textId="341DEC33" w:rsidR="006C4BA4" w:rsidRPr="008507EE" w:rsidRDefault="006C4BA4" w:rsidP="006C4BA4">
      <w:pPr>
        <w:pStyle w:val="FSCh5Section"/>
      </w:pPr>
      <w:r w:rsidRPr="008507EE">
        <w:t>Standard 1.2.8 – Nutrition information requirements</w:t>
      </w:r>
      <w:r w:rsidR="00C54532" w:rsidRPr="008507EE">
        <w:t xml:space="preserve"> </w:t>
      </w:r>
    </w:p>
    <w:p w14:paraId="6F51DE92" w14:textId="77777777" w:rsidR="006C4BA4" w:rsidRPr="008507EE" w:rsidRDefault="006C4BA4" w:rsidP="006C4BA4">
      <w:pPr>
        <w:pStyle w:val="FSCDraftingitemheading"/>
        <w:keepNext/>
      </w:pPr>
      <w:r w:rsidRPr="008507EE">
        <w:t>[5]</w:t>
      </w:r>
      <w:r w:rsidRPr="008507EE">
        <w:tab/>
        <w:t>Paragraph 1.2.8—5(2)(b)</w:t>
      </w:r>
    </w:p>
    <w:p w14:paraId="32D48299" w14:textId="77777777" w:rsidR="006C4BA4" w:rsidRPr="008507EE" w:rsidRDefault="006C4BA4" w:rsidP="006C4BA4">
      <w:pPr>
        <w:pStyle w:val="FSCDraftingitem"/>
      </w:pPr>
      <w:r w:rsidRPr="008507EE">
        <w:tab/>
        <w:t>Omit ‘small package’, substitute ‘*small package’</w:t>
      </w:r>
    </w:p>
    <w:p w14:paraId="1DA2EF4A" w14:textId="77777777" w:rsidR="006C4BA4" w:rsidRPr="008507EE" w:rsidRDefault="006C4BA4" w:rsidP="006C4BA4">
      <w:pPr>
        <w:pStyle w:val="FSCDraftingitemheading"/>
        <w:keepNext/>
      </w:pPr>
      <w:r w:rsidRPr="008507EE">
        <w:t>[6]</w:t>
      </w:r>
      <w:r w:rsidRPr="008507EE">
        <w:tab/>
        <w:t>Subsection 1.2.8—14(1)</w:t>
      </w:r>
    </w:p>
    <w:p w14:paraId="0EC2BD35" w14:textId="77777777" w:rsidR="006C4BA4" w:rsidRPr="008507EE" w:rsidRDefault="006C4BA4" w:rsidP="006C4BA4">
      <w:pPr>
        <w:pStyle w:val="FSCDraftingitem"/>
      </w:pPr>
      <w:r w:rsidRPr="008507EE">
        <w:tab/>
        <w:t>Omit ‘small package’, substitute ‘*small package’</w:t>
      </w:r>
    </w:p>
    <w:p w14:paraId="6CE000FC" w14:textId="77777777" w:rsidR="00107135" w:rsidRPr="00107135" w:rsidRDefault="00107135" w:rsidP="00107135">
      <w:pPr>
        <w:pStyle w:val="FSCh5Section"/>
      </w:pPr>
      <w:r w:rsidRPr="00107135">
        <w:t>Standard 1.2.10 – Information requirements – characterising ingredients and components of food</w:t>
      </w:r>
    </w:p>
    <w:p w14:paraId="6892C027" w14:textId="77777777" w:rsidR="00107135" w:rsidRPr="00107135" w:rsidRDefault="00107135" w:rsidP="00107135">
      <w:pPr>
        <w:pStyle w:val="FSCDraftingitemheading"/>
        <w:keepNext/>
      </w:pPr>
      <w:r w:rsidRPr="00107135">
        <w:t>[7]</w:t>
      </w:r>
      <w:r w:rsidRPr="00107135">
        <w:tab/>
        <w:t>Paragraph 1.2.10—3(3)(c)</w:t>
      </w:r>
    </w:p>
    <w:p w14:paraId="60E274B4" w14:textId="77777777" w:rsidR="00107135" w:rsidRPr="00107135" w:rsidRDefault="00107135" w:rsidP="00107135">
      <w:pPr>
        <w:pStyle w:val="FSCDraftingitem"/>
      </w:pPr>
      <w:r w:rsidRPr="00107135">
        <w:tab/>
        <w:t>Omit ‘small package’, substitute ‘*small package’</w:t>
      </w:r>
    </w:p>
    <w:p w14:paraId="4B6AD65A" w14:textId="6D67E14A" w:rsidR="003F1D1E" w:rsidRPr="00107135" w:rsidRDefault="003F1D1E" w:rsidP="008507EE">
      <w:pPr>
        <w:pStyle w:val="FSCh5Section"/>
        <w:ind w:left="0" w:firstLine="0"/>
      </w:pPr>
      <w:r w:rsidRPr="00107135">
        <w:t>Standard 1.6.1 – Microbiological limits in food</w:t>
      </w:r>
    </w:p>
    <w:p w14:paraId="5CAE0CD1" w14:textId="3D8E6BDC" w:rsidR="003F1D1E" w:rsidRPr="00107135" w:rsidRDefault="003F1D1E" w:rsidP="003F1D1E">
      <w:pPr>
        <w:pStyle w:val="FSCDraftingitemheading"/>
        <w:keepNext/>
      </w:pPr>
      <w:r w:rsidRPr="00107135">
        <w:t>[8]</w:t>
      </w:r>
      <w:r w:rsidRPr="00107135">
        <w:tab/>
        <w:t>Subparagraph 1.6.1—3(5)(a)(iii)(B)</w:t>
      </w:r>
    </w:p>
    <w:p w14:paraId="1C2E8AC4" w14:textId="0848DC13" w:rsidR="003F1D1E" w:rsidRPr="00B12CC8" w:rsidRDefault="00664C83" w:rsidP="003F1D1E">
      <w:pPr>
        <w:pStyle w:val="FSCDraftingitem"/>
      </w:pPr>
      <w:r w:rsidRPr="000229B2">
        <w:tab/>
        <w:t>Omit ‘ISO 16140:2003</w:t>
      </w:r>
      <w:r w:rsidRPr="00B12CC8">
        <w:t>’, substitute ‘ISO 16140.2:2016</w:t>
      </w:r>
      <w:r w:rsidR="003F1D1E" w:rsidRPr="00B12CC8">
        <w:t>’</w:t>
      </w:r>
    </w:p>
    <w:p w14:paraId="10326C2B" w14:textId="36EA50BF" w:rsidR="00664C83" w:rsidRPr="00022ACD" w:rsidRDefault="00664C83" w:rsidP="00664C83">
      <w:pPr>
        <w:pStyle w:val="FSCh5Section"/>
      </w:pPr>
      <w:r w:rsidRPr="00022ACD">
        <w:lastRenderedPageBreak/>
        <w:t>Standard 4.2.3 –  Production and Processing Standard for Meat</w:t>
      </w:r>
    </w:p>
    <w:p w14:paraId="796C63DE" w14:textId="7BDF1514" w:rsidR="00664C83" w:rsidRPr="00022ACD" w:rsidRDefault="00664C83" w:rsidP="00F03A4E">
      <w:pPr>
        <w:pStyle w:val="FSCDraftingitemheading"/>
        <w:keepNext/>
      </w:pPr>
      <w:r w:rsidRPr="00022ACD">
        <w:t>[9]</w:t>
      </w:r>
      <w:r w:rsidRPr="00022ACD">
        <w:tab/>
      </w:r>
      <w:r w:rsidR="00F03A4E">
        <w:t>Clause</w:t>
      </w:r>
      <w:r w:rsidRPr="00022ACD">
        <w:t xml:space="preserve"> </w:t>
      </w:r>
      <w:r w:rsidR="00090CB4" w:rsidRPr="00022ACD">
        <w:t>3</w:t>
      </w:r>
      <w:r w:rsidR="00F03A4E">
        <w:t xml:space="preserve"> </w:t>
      </w:r>
      <w:r w:rsidR="009C3174">
        <w:t>(</w:t>
      </w:r>
      <w:r w:rsidR="00F03A4E">
        <w:t xml:space="preserve">definition of </w:t>
      </w:r>
      <w:r w:rsidR="00F03A4E" w:rsidRPr="00D56057">
        <w:rPr>
          <w:i/>
        </w:rPr>
        <w:t>HACCP plan</w:t>
      </w:r>
      <w:r w:rsidR="009C3174">
        <w:t>)</w:t>
      </w:r>
      <w:r w:rsidR="00F03A4E">
        <w:t xml:space="preserve"> </w:t>
      </w:r>
    </w:p>
    <w:p w14:paraId="4E4028F8" w14:textId="7E1D9264" w:rsidR="00664C83" w:rsidRPr="00107135" w:rsidRDefault="00664C83" w:rsidP="00664C83">
      <w:pPr>
        <w:pStyle w:val="FSCDraftingitem"/>
      </w:pPr>
      <w:r w:rsidRPr="00107135">
        <w:tab/>
        <w:t>Omit ‘</w:t>
      </w:r>
      <w:r w:rsidR="00090CB4" w:rsidRPr="00107135">
        <w:t>AS-4696-2002</w:t>
      </w:r>
      <w:r w:rsidRPr="00107135">
        <w:t>’, substitute ‘</w:t>
      </w:r>
      <w:r w:rsidR="00090CB4" w:rsidRPr="00107135">
        <w:t>AS-4696-2007</w:t>
      </w:r>
      <w:r w:rsidRPr="00107135">
        <w:t>’</w:t>
      </w:r>
    </w:p>
    <w:p w14:paraId="6241EA47" w14:textId="3838AAF5" w:rsidR="00090CB4" w:rsidRPr="00107135" w:rsidRDefault="00090CB4" w:rsidP="00090CB4">
      <w:pPr>
        <w:pStyle w:val="FSCDraftingitemheading"/>
        <w:keepNext/>
      </w:pPr>
      <w:r w:rsidRPr="00107135">
        <w:t>[10]</w:t>
      </w:r>
      <w:r w:rsidRPr="00107135">
        <w:tab/>
      </w:r>
      <w:r w:rsidR="00F03A4E">
        <w:t xml:space="preserve">Clause </w:t>
      </w:r>
      <w:r w:rsidRPr="00107135">
        <w:t>4</w:t>
      </w:r>
      <w:r w:rsidR="00F03A4E">
        <w:t xml:space="preserve"> </w:t>
      </w:r>
      <w:r w:rsidR="009C3174">
        <w:t>(</w:t>
      </w:r>
      <w:r w:rsidR="00A86B99">
        <w:t>Table 1</w:t>
      </w:r>
      <w:r w:rsidR="009C3174">
        <w:t>)</w:t>
      </w:r>
    </w:p>
    <w:p w14:paraId="0E708C89" w14:textId="410DFF8D" w:rsidR="00664C83" w:rsidRDefault="00090CB4" w:rsidP="00664C83">
      <w:pPr>
        <w:pStyle w:val="FSCDraftingitem"/>
      </w:pPr>
      <w:r w:rsidRPr="00107135">
        <w:tab/>
        <w:t>Omit ‘</w:t>
      </w:r>
      <w:r w:rsidR="00F64C63" w:rsidRPr="00107135">
        <w:t>AS4696-2002</w:t>
      </w:r>
      <w:r w:rsidRPr="00107135">
        <w:t>’, substitute ‘AS-4696-2007’</w:t>
      </w:r>
    </w:p>
    <w:p w14:paraId="7A7F2859" w14:textId="61FDEDD7" w:rsidR="00F03A4E" w:rsidRPr="00107135" w:rsidRDefault="00992C45" w:rsidP="00F03A4E">
      <w:pPr>
        <w:pStyle w:val="FSCDraftingitemheading"/>
        <w:keepNext/>
      </w:pPr>
      <w:r w:rsidRPr="00B92376">
        <w:t>[10A</w:t>
      </w:r>
      <w:r w:rsidR="00F03A4E" w:rsidRPr="00B92376">
        <w:t>]</w:t>
      </w:r>
      <w:r w:rsidR="00F03A4E" w:rsidRPr="00107135">
        <w:tab/>
      </w:r>
      <w:r w:rsidR="00F03A4E">
        <w:t xml:space="preserve">Clause </w:t>
      </w:r>
      <w:r w:rsidR="00F03A4E" w:rsidRPr="00107135">
        <w:t>4</w:t>
      </w:r>
      <w:r w:rsidR="00F03A4E">
        <w:t xml:space="preserve"> </w:t>
      </w:r>
      <w:r w:rsidR="009A6870">
        <w:t>(</w:t>
      </w:r>
      <w:r w:rsidR="00A86B99">
        <w:t>Editorial Note</w:t>
      </w:r>
      <w:r w:rsidR="009A6870">
        <w:t>)</w:t>
      </w:r>
    </w:p>
    <w:p w14:paraId="5111A688" w14:textId="78AD301E" w:rsidR="00F03A4E" w:rsidRPr="008507EE" w:rsidRDefault="00F03A4E" w:rsidP="00664C83">
      <w:pPr>
        <w:pStyle w:val="FSCDraftingitem"/>
      </w:pPr>
      <w:r w:rsidRPr="00107135">
        <w:tab/>
        <w:t>Omit ‘AS4696-2002’, substitute ‘AS-4696-2007’</w:t>
      </w:r>
    </w:p>
    <w:p w14:paraId="26E47F7B" w14:textId="705583AA" w:rsidR="005D354C" w:rsidRPr="00022ACD" w:rsidRDefault="005D354C" w:rsidP="005D354C">
      <w:pPr>
        <w:pStyle w:val="FSCh5Section"/>
      </w:pPr>
      <w:r w:rsidRPr="00022ACD">
        <w:t>Standard 4.</w:t>
      </w:r>
      <w:r>
        <w:t>2.5</w:t>
      </w:r>
      <w:r w:rsidRPr="00022ACD">
        <w:t xml:space="preserve"> – </w:t>
      </w:r>
      <w:r>
        <w:t xml:space="preserve"> Primary Production and Processing Standard for Eggs and Egg   Product</w:t>
      </w:r>
    </w:p>
    <w:p w14:paraId="26FB62C2" w14:textId="486C2CFA" w:rsidR="005D354C" w:rsidRPr="00022ACD" w:rsidRDefault="005D354C" w:rsidP="005D354C">
      <w:pPr>
        <w:pStyle w:val="FSCDraftingitemheading"/>
        <w:keepNext/>
      </w:pPr>
      <w:r w:rsidRPr="00022ACD">
        <w:t>[</w:t>
      </w:r>
      <w:r>
        <w:t>11</w:t>
      </w:r>
      <w:r w:rsidRPr="00022ACD">
        <w:t>]</w:t>
      </w:r>
      <w:r w:rsidRPr="00022ACD">
        <w:tab/>
      </w:r>
      <w:r w:rsidR="00A86B99">
        <w:t xml:space="preserve">Subclause </w:t>
      </w:r>
      <w:r w:rsidR="00693EAF">
        <w:t>2(2)</w:t>
      </w:r>
      <w:r w:rsidR="009A6870">
        <w:t xml:space="preserve"> (</w:t>
      </w:r>
      <w:r w:rsidR="00A86B99">
        <w:t xml:space="preserve">Editorial Note after the definition of </w:t>
      </w:r>
      <w:r w:rsidR="00A86B99" w:rsidRPr="00D56057">
        <w:rPr>
          <w:i/>
        </w:rPr>
        <w:t>food safety management statement</w:t>
      </w:r>
      <w:r w:rsidR="009A6870">
        <w:t>)</w:t>
      </w:r>
    </w:p>
    <w:p w14:paraId="1508747C" w14:textId="183CB9CD" w:rsidR="005D354C" w:rsidRPr="00107135" w:rsidRDefault="005D354C" w:rsidP="005D354C">
      <w:pPr>
        <w:pStyle w:val="FSCDraftingitem"/>
      </w:pPr>
      <w:r w:rsidRPr="00107135">
        <w:tab/>
        <w:t>Omit ‘</w:t>
      </w:r>
      <w:r w:rsidRPr="005D354C">
        <w:t>draft Standard 4.1.1.</w:t>
      </w:r>
      <w:r w:rsidRPr="00107135">
        <w:t>’, substitute ‘</w:t>
      </w:r>
      <w:r w:rsidRPr="005D354C">
        <w:t>Standard 4.1.1.</w:t>
      </w:r>
      <w:r w:rsidRPr="00107135">
        <w:t>’</w:t>
      </w:r>
    </w:p>
    <w:p w14:paraId="4CE9D690" w14:textId="473EB9DD" w:rsidR="00A86B99" w:rsidRDefault="005D354C" w:rsidP="00D56057">
      <w:pPr>
        <w:pStyle w:val="FSCDraftingitemheading"/>
        <w:keepNext/>
      </w:pPr>
      <w:r w:rsidRPr="00693EAF">
        <w:t>[12</w:t>
      </w:r>
      <w:r w:rsidR="00693EAF" w:rsidRPr="00693EAF">
        <w:t>]</w:t>
      </w:r>
      <w:r w:rsidR="00693EAF" w:rsidRPr="00693EAF">
        <w:rPr>
          <w:b w:val="0"/>
        </w:rPr>
        <w:tab/>
      </w:r>
      <w:r w:rsidR="00A86B99" w:rsidRPr="00272E43">
        <w:t>Subclause 2(2</w:t>
      </w:r>
      <w:r w:rsidR="009A6870">
        <w:t>) (</w:t>
      </w:r>
      <w:r w:rsidR="00A86B99" w:rsidRPr="00272E43">
        <w:t xml:space="preserve">Editorial Note after the definition of </w:t>
      </w:r>
      <w:r w:rsidR="00A86B99" w:rsidRPr="00D56057">
        <w:rPr>
          <w:i/>
        </w:rPr>
        <w:t>unacceptable egg</w:t>
      </w:r>
      <w:r w:rsidR="009A6870">
        <w:t>)</w:t>
      </w:r>
    </w:p>
    <w:p w14:paraId="6AA85D7E" w14:textId="70D8EC30" w:rsidR="005D354C" w:rsidRPr="00693EAF" w:rsidRDefault="005D354C" w:rsidP="00D56057">
      <w:pPr>
        <w:pStyle w:val="FSCDraftingitemheading"/>
        <w:keepNext/>
        <w:ind w:firstLine="0"/>
      </w:pPr>
      <w:r w:rsidRPr="00693EAF">
        <w:rPr>
          <w:b w:val="0"/>
        </w:rPr>
        <w:t>Omit ‘</w:t>
      </w:r>
      <w:r w:rsidR="00693EAF">
        <w:rPr>
          <w:b w:val="0"/>
        </w:rPr>
        <w:t>Standard 1</w:t>
      </w:r>
      <w:r w:rsidR="00693EAF" w:rsidRPr="00693EAF">
        <w:rPr>
          <w:b w:val="0"/>
        </w:rPr>
        <w:t>.1.1’, substitute ‘</w:t>
      </w:r>
      <w:r w:rsidR="00693EAF">
        <w:rPr>
          <w:b w:val="0"/>
        </w:rPr>
        <w:t>Standard 1</w:t>
      </w:r>
      <w:r w:rsidR="00693EAF" w:rsidRPr="00693EAF">
        <w:rPr>
          <w:b w:val="0"/>
        </w:rPr>
        <w:t>.1.</w:t>
      </w:r>
      <w:r w:rsidR="00693EAF">
        <w:rPr>
          <w:b w:val="0"/>
        </w:rPr>
        <w:t>2</w:t>
      </w:r>
      <w:r w:rsidRPr="00693EAF">
        <w:rPr>
          <w:b w:val="0"/>
        </w:rPr>
        <w:t>’</w:t>
      </w:r>
    </w:p>
    <w:p w14:paraId="63FB05E7" w14:textId="7FB53836" w:rsidR="00813F25" w:rsidRPr="00022ACD" w:rsidRDefault="00813F25" w:rsidP="00813F25">
      <w:pPr>
        <w:pStyle w:val="FSCDraftingitemheading"/>
        <w:keepNext/>
      </w:pPr>
      <w:r w:rsidRPr="00022ACD">
        <w:t>[</w:t>
      </w:r>
      <w:r>
        <w:t>13</w:t>
      </w:r>
      <w:r w:rsidRPr="00022ACD">
        <w:t>]</w:t>
      </w:r>
      <w:r w:rsidRPr="00022ACD">
        <w:tab/>
      </w:r>
      <w:r w:rsidR="00A86B99">
        <w:t xml:space="preserve">Clause </w:t>
      </w:r>
      <w:r>
        <w:t>23</w:t>
      </w:r>
      <w:r w:rsidR="009A6870">
        <w:t xml:space="preserve"> (</w:t>
      </w:r>
      <w:r w:rsidR="00A86B99">
        <w:t>Editorial Note</w:t>
      </w:r>
      <w:r w:rsidR="009A6870">
        <w:t>)</w:t>
      </w:r>
    </w:p>
    <w:p w14:paraId="301E490F" w14:textId="1EB42663" w:rsidR="00813F25" w:rsidRPr="00107135" w:rsidRDefault="00813F25" w:rsidP="00813F25">
      <w:pPr>
        <w:pStyle w:val="FSCDraftingitem"/>
      </w:pPr>
      <w:r w:rsidRPr="00107135">
        <w:tab/>
        <w:t>Omit ‘</w:t>
      </w:r>
      <w:r>
        <w:t>Standard 1.2</w:t>
      </w:r>
      <w:r w:rsidRPr="005D354C">
        <w:t>.</w:t>
      </w:r>
      <w:r>
        <w:t>3</w:t>
      </w:r>
      <w:r w:rsidRPr="00107135">
        <w:t>’, substitute ‘</w:t>
      </w:r>
      <w:r>
        <w:t>Schedule 9</w:t>
      </w:r>
      <w:r w:rsidRPr="00107135">
        <w:t>’</w:t>
      </w:r>
    </w:p>
    <w:p w14:paraId="5FE14D21" w14:textId="0AF588C3" w:rsidR="006C4BA4" w:rsidRPr="008507EE" w:rsidRDefault="006C4BA4" w:rsidP="008507EE">
      <w:pPr>
        <w:pStyle w:val="FSCh5Section"/>
        <w:ind w:left="0" w:firstLine="0"/>
      </w:pPr>
      <w:r w:rsidRPr="008507EE">
        <w:t>Schedule 1 – RDIs and ESADDIs</w:t>
      </w:r>
    </w:p>
    <w:p w14:paraId="6158D1A3" w14:textId="50B5C78F" w:rsidR="006C4BA4" w:rsidRPr="008507EE" w:rsidRDefault="008507EE" w:rsidP="006C4BA4">
      <w:pPr>
        <w:pStyle w:val="FSCDraftingitemheading"/>
      </w:pPr>
      <w:r w:rsidRPr="008507EE">
        <w:t>[1</w:t>
      </w:r>
      <w:r w:rsidR="00BD5B98">
        <w:t>4</w:t>
      </w:r>
      <w:r w:rsidR="006C4BA4" w:rsidRPr="008507EE">
        <w:t>]</w:t>
      </w:r>
      <w:r w:rsidR="006C4BA4" w:rsidRPr="008507EE">
        <w:tab/>
        <w:t>Section S1—4</w:t>
      </w:r>
    </w:p>
    <w:p w14:paraId="276F5493" w14:textId="77777777" w:rsidR="006C4BA4" w:rsidRPr="008507EE" w:rsidRDefault="006C4BA4" w:rsidP="006C4BA4">
      <w:pPr>
        <w:pStyle w:val="FSCDraftingitem"/>
        <w:ind w:firstLine="851"/>
      </w:pPr>
      <w:r w:rsidRPr="008507EE">
        <w:t>Omit ‘1.1.2—14(a)’, substitute ‘1.1.2—14(3)(a)’</w:t>
      </w:r>
    </w:p>
    <w:p w14:paraId="750C56A1" w14:textId="68B59D47" w:rsidR="006C4BA4" w:rsidRPr="008507EE" w:rsidRDefault="008507EE" w:rsidP="006C4BA4">
      <w:pPr>
        <w:pStyle w:val="FSCDraftingitemheading"/>
      </w:pPr>
      <w:r w:rsidRPr="008507EE">
        <w:t>[1</w:t>
      </w:r>
      <w:r w:rsidR="00BD5B98">
        <w:t>5</w:t>
      </w:r>
      <w:r w:rsidR="006C4BA4" w:rsidRPr="008507EE">
        <w:t>]</w:t>
      </w:r>
      <w:r w:rsidR="006C4BA4" w:rsidRPr="008507EE">
        <w:tab/>
        <w:t>Section S1—5</w:t>
      </w:r>
    </w:p>
    <w:p w14:paraId="59649A85" w14:textId="16121014" w:rsidR="009E5A4F" w:rsidRPr="008507EE" w:rsidRDefault="006C4BA4" w:rsidP="008507EE">
      <w:pPr>
        <w:pStyle w:val="FSCDraftingitem"/>
        <w:ind w:firstLine="851"/>
      </w:pPr>
      <w:r w:rsidRPr="008507EE">
        <w:t>Omit ‘1.1.2—14(d</w:t>
      </w:r>
      <w:r w:rsidR="008507EE" w:rsidRPr="008507EE">
        <w:t>)’, substitute ‘1.1.2—14(3)(c)’</w:t>
      </w:r>
    </w:p>
    <w:p w14:paraId="330AF651" w14:textId="2EBB72B9" w:rsidR="00107135" w:rsidRPr="00107135" w:rsidRDefault="00107135" w:rsidP="00107135">
      <w:pPr>
        <w:pStyle w:val="FSCh5Section"/>
      </w:pPr>
      <w:r w:rsidRPr="00107135">
        <w:t>Schedule 3 – Identity and purity</w:t>
      </w:r>
    </w:p>
    <w:p w14:paraId="2D8AAD53" w14:textId="0D9D9262" w:rsidR="00EE72A1" w:rsidRPr="00107135" w:rsidRDefault="00BD5B98" w:rsidP="00EE72A1">
      <w:pPr>
        <w:pStyle w:val="FSCDraftingitemheading"/>
      </w:pPr>
      <w:r>
        <w:t>[16</w:t>
      </w:r>
      <w:r w:rsidR="00EE72A1" w:rsidRPr="00107135">
        <w:t>]</w:t>
      </w:r>
      <w:r w:rsidR="00EE72A1" w:rsidRPr="00107135">
        <w:tab/>
        <w:t>Paragraph S3—2(1)(b)</w:t>
      </w:r>
    </w:p>
    <w:p w14:paraId="08DBB063" w14:textId="77777777" w:rsidR="00EE72A1" w:rsidRPr="00107135" w:rsidRDefault="00EE72A1" w:rsidP="00EE72A1">
      <w:pPr>
        <w:pStyle w:val="FSCDraftingitem"/>
        <w:ind w:firstLine="851"/>
      </w:pPr>
      <w:r w:rsidRPr="00107135">
        <w:t>Omit</w:t>
      </w:r>
    </w:p>
    <w:p w14:paraId="156F0047" w14:textId="77777777" w:rsidR="00EE72A1" w:rsidRPr="00107135" w:rsidRDefault="00EE72A1" w:rsidP="00EE72A1">
      <w:pPr>
        <w:pStyle w:val="FSCtSubpara"/>
      </w:pPr>
      <w:r w:rsidRPr="00107135">
        <w:rPr>
          <w:szCs w:val="20"/>
        </w:rPr>
        <w:tab/>
        <w:t>(xi)</w:t>
      </w:r>
      <w:r w:rsidRPr="00107135">
        <w:rPr>
          <w:szCs w:val="20"/>
        </w:rPr>
        <w:tab/>
        <w:t>FAO JECFA Monographs 19 (2016); or</w:t>
      </w:r>
    </w:p>
    <w:p w14:paraId="3C281654" w14:textId="6C8B6846" w:rsidR="00EE72A1" w:rsidRPr="00107135" w:rsidRDefault="00EE72A1" w:rsidP="00EE72A1">
      <w:pPr>
        <w:pStyle w:val="FSCDraftingitem"/>
        <w:ind w:firstLine="851"/>
      </w:pPr>
      <w:r w:rsidRPr="00107135">
        <w:t>substitute</w:t>
      </w:r>
    </w:p>
    <w:p w14:paraId="24583139" w14:textId="41393898" w:rsidR="00EE72A1" w:rsidRPr="00107135" w:rsidRDefault="00EE72A1" w:rsidP="00EE72A1">
      <w:pPr>
        <w:pStyle w:val="FSCtSubpara"/>
        <w:rPr>
          <w:szCs w:val="20"/>
        </w:rPr>
      </w:pPr>
      <w:r w:rsidRPr="00107135">
        <w:rPr>
          <w:szCs w:val="20"/>
        </w:rPr>
        <w:tab/>
        <w:t xml:space="preserve">(xi) </w:t>
      </w:r>
      <w:r w:rsidRPr="00107135">
        <w:rPr>
          <w:szCs w:val="20"/>
        </w:rPr>
        <w:tab/>
        <w:t>FAO JECFA Monographs 19 (2016);</w:t>
      </w:r>
    </w:p>
    <w:p w14:paraId="66650E1B" w14:textId="5CB52758" w:rsidR="00EE72A1" w:rsidRPr="00107135" w:rsidRDefault="00EE72A1" w:rsidP="00EE72A1">
      <w:pPr>
        <w:pStyle w:val="FSCtSubpara"/>
      </w:pPr>
      <w:r w:rsidRPr="00107135">
        <w:rPr>
          <w:szCs w:val="20"/>
        </w:rPr>
        <w:tab/>
        <w:t>(xi</w:t>
      </w:r>
      <w:r w:rsidR="00B92376">
        <w:rPr>
          <w:szCs w:val="20"/>
        </w:rPr>
        <w:t>i</w:t>
      </w:r>
      <w:r w:rsidRPr="00107135">
        <w:rPr>
          <w:szCs w:val="20"/>
        </w:rPr>
        <w:t>)</w:t>
      </w:r>
      <w:r w:rsidRPr="00107135">
        <w:rPr>
          <w:szCs w:val="20"/>
        </w:rPr>
        <w:tab/>
        <w:t>FAO JECFA Monographs 20 (2017); or</w:t>
      </w:r>
    </w:p>
    <w:p w14:paraId="25C05188" w14:textId="4C0075E0" w:rsidR="00EE72A1" w:rsidRPr="00107135" w:rsidRDefault="00BD5B98" w:rsidP="00EE72A1">
      <w:pPr>
        <w:pStyle w:val="FSCDraftingitemheading"/>
      </w:pPr>
      <w:r>
        <w:t>[17</w:t>
      </w:r>
      <w:r w:rsidR="00EE72A1" w:rsidRPr="00107135">
        <w:t>]</w:t>
      </w:r>
      <w:r w:rsidR="00EE72A1" w:rsidRPr="00107135">
        <w:tab/>
        <w:t>Paragraph S3—2(1)(c)</w:t>
      </w:r>
    </w:p>
    <w:p w14:paraId="5E048FF8" w14:textId="7CD1F1DD" w:rsidR="00EE72A1" w:rsidRPr="00107135" w:rsidRDefault="00EE72A1" w:rsidP="00D56057">
      <w:pPr>
        <w:pStyle w:val="FSCDraftingitem"/>
        <w:ind w:left="851"/>
      </w:pPr>
      <w:r w:rsidRPr="00107135">
        <w:t>Omit ‘(2016) Food chemicals codex. 10th ed’, substitute ‘(2018) Food chemicals codex. 11th ed’</w:t>
      </w:r>
    </w:p>
    <w:p w14:paraId="5457A9BE" w14:textId="1B1934B5" w:rsidR="00EE72A1" w:rsidRPr="00107135" w:rsidRDefault="00BD5B98" w:rsidP="00EE72A1">
      <w:pPr>
        <w:pStyle w:val="FSCDraftingitemheading"/>
      </w:pPr>
      <w:r>
        <w:t>[18</w:t>
      </w:r>
      <w:r w:rsidR="00D2239B" w:rsidRPr="00107135">
        <w:t>]</w:t>
      </w:r>
      <w:r w:rsidR="00D2239B" w:rsidRPr="00107135">
        <w:tab/>
        <w:t>Paragraph S3—3(j)</w:t>
      </w:r>
      <w:r w:rsidR="00EE72A1" w:rsidRPr="00107135">
        <w:t>)</w:t>
      </w:r>
    </w:p>
    <w:p w14:paraId="4217C31A" w14:textId="42ED0DAE" w:rsidR="00EE72A1" w:rsidRPr="00107135" w:rsidRDefault="00200E9E" w:rsidP="00EE72A1">
      <w:pPr>
        <w:pStyle w:val="FSCDraftingitem"/>
        <w:ind w:firstLine="851"/>
      </w:pPr>
      <w:r w:rsidRPr="00107135">
        <w:t>Omit ‘(2017)</w:t>
      </w:r>
      <w:r w:rsidR="00EE72A1" w:rsidRPr="00107135">
        <w:t>’, substitute ‘</w:t>
      </w:r>
      <w:r w:rsidRPr="00107135">
        <w:t>(2018)</w:t>
      </w:r>
      <w:r w:rsidR="00EE72A1" w:rsidRPr="00107135">
        <w:t>’</w:t>
      </w:r>
    </w:p>
    <w:p w14:paraId="0D3FE491" w14:textId="6D705194" w:rsidR="009E5A4F" w:rsidRPr="00107135" w:rsidRDefault="00107135" w:rsidP="00EE72A1">
      <w:pPr>
        <w:pStyle w:val="FSCDraftingitemheading"/>
      </w:pPr>
      <w:r w:rsidRPr="00107135">
        <w:t>[1</w:t>
      </w:r>
      <w:r w:rsidR="00BD5B98">
        <w:t>9</w:t>
      </w:r>
      <w:r w:rsidRPr="00107135">
        <w:t>]</w:t>
      </w:r>
      <w:r w:rsidR="00B0594B" w:rsidRPr="00107135">
        <w:tab/>
      </w:r>
      <w:r w:rsidRPr="00107135">
        <w:t xml:space="preserve">Paragraph S3—28(2)(a) </w:t>
      </w:r>
    </w:p>
    <w:p w14:paraId="5B05278D" w14:textId="77777777" w:rsidR="00107135" w:rsidRPr="008507EE" w:rsidRDefault="00107135" w:rsidP="00107135">
      <w:pPr>
        <w:pStyle w:val="FSCDraftingitem"/>
        <w:ind w:firstLine="851"/>
      </w:pPr>
      <w:r w:rsidRPr="00107135">
        <w:t>Omit ‘mg/kg’, substitute ‘mg/g’</w:t>
      </w:r>
    </w:p>
    <w:p w14:paraId="22EE27F4" w14:textId="77777777" w:rsidR="006C4BA4" w:rsidRPr="008507EE" w:rsidRDefault="006C4BA4" w:rsidP="006C4BA4">
      <w:pPr>
        <w:pStyle w:val="FSCh5Section"/>
      </w:pPr>
      <w:r w:rsidRPr="008507EE">
        <w:t>Schedule 11 – Calculation of values for nutrition information panel</w:t>
      </w:r>
    </w:p>
    <w:p w14:paraId="257F6E38" w14:textId="384B0925" w:rsidR="006C4BA4" w:rsidRPr="008507EE" w:rsidRDefault="00107135" w:rsidP="006C4BA4">
      <w:pPr>
        <w:pStyle w:val="FSCDraftingitemheading"/>
      </w:pPr>
      <w:r>
        <w:t>[</w:t>
      </w:r>
      <w:r w:rsidR="00BD5B98">
        <w:t>20</w:t>
      </w:r>
      <w:r w:rsidR="006C4BA4" w:rsidRPr="008507EE">
        <w:t>]</w:t>
      </w:r>
      <w:r w:rsidR="006C4BA4" w:rsidRPr="008507EE">
        <w:tab/>
        <w:t xml:space="preserve">Section </w:t>
      </w:r>
      <w:r w:rsidR="00FA2DA1">
        <w:t>S</w:t>
      </w:r>
      <w:r w:rsidR="006C4BA4" w:rsidRPr="008507EE">
        <w:t>11—4</w:t>
      </w:r>
    </w:p>
    <w:p w14:paraId="24B42520" w14:textId="77777777" w:rsidR="006C4BA4" w:rsidRPr="008507EE" w:rsidRDefault="006C4BA4" w:rsidP="006C4BA4">
      <w:pPr>
        <w:pStyle w:val="FSCDraftingitem"/>
        <w:ind w:firstLine="851"/>
      </w:pPr>
      <w:r w:rsidRPr="008507EE">
        <w:t>Omit subsections (2) and (3), substitute</w:t>
      </w:r>
    </w:p>
    <w:p w14:paraId="2E00FABE" w14:textId="4061FD41" w:rsidR="006C4BA4" w:rsidRPr="008507EE" w:rsidRDefault="006C4BA4" w:rsidP="006C4BA4">
      <w:pPr>
        <w:pStyle w:val="FSCtMain"/>
      </w:pPr>
      <w:r w:rsidRPr="008507EE">
        <w:tab/>
        <w:t>(2)</w:t>
      </w:r>
      <w:r w:rsidRPr="008507EE">
        <w:tab/>
        <w:t>The total *dietary fibre, and amount of any s</w:t>
      </w:r>
      <w:r w:rsidR="00023DEF" w:rsidRPr="008507EE">
        <w:t>pecifically named</w:t>
      </w:r>
      <w:r w:rsidR="002F7678" w:rsidRPr="008507EE">
        <w:t xml:space="preserve"> </w:t>
      </w:r>
      <w:r w:rsidRPr="008507EE">
        <w:t xml:space="preserve">fibre, in a food must </w:t>
      </w:r>
      <w:r w:rsidRPr="008507EE">
        <w:lastRenderedPageBreak/>
        <w:t>be determined in accordance with any one or more of the methods contained in following sections of the AOAC:</w:t>
      </w:r>
    </w:p>
    <w:p w14:paraId="76A014C0" w14:textId="77777777" w:rsidR="006C4BA4" w:rsidRPr="008507EE" w:rsidRDefault="006C4BA4" w:rsidP="006C4BA4">
      <w:pPr>
        <w:pStyle w:val="FSCtPara"/>
      </w:pPr>
      <w:r w:rsidRPr="008507EE">
        <w:tab/>
        <w:t>(a)</w:t>
      </w:r>
      <w:r w:rsidRPr="008507EE">
        <w:tab/>
        <w:t>for dietary fibre—sections 985.29 or 991.43;</w:t>
      </w:r>
    </w:p>
    <w:p w14:paraId="7648FFC2" w14:textId="77777777" w:rsidR="006C4BA4" w:rsidRPr="008507EE" w:rsidRDefault="006C4BA4" w:rsidP="006C4BA4">
      <w:pPr>
        <w:pStyle w:val="FSCtPara"/>
      </w:pPr>
      <w:r w:rsidRPr="008507EE">
        <w:tab/>
        <w:t>(b)</w:t>
      </w:r>
      <w:r w:rsidRPr="008507EE">
        <w:tab/>
        <w:t>for dietary fibre (including all resistant maltodextrins)—section 2001.03;</w:t>
      </w:r>
    </w:p>
    <w:p w14:paraId="6988B8F9" w14:textId="77777777" w:rsidR="006C4BA4" w:rsidRPr="008507EE" w:rsidRDefault="006C4BA4" w:rsidP="006C4BA4">
      <w:pPr>
        <w:pStyle w:val="FSCtPara"/>
      </w:pPr>
      <w:r w:rsidRPr="008507EE">
        <w:tab/>
        <w:t>(c)</w:t>
      </w:r>
      <w:r w:rsidRPr="008507EE">
        <w:tab/>
        <w:t>for inulin and fructooligosaccharide—section 997.08;</w:t>
      </w:r>
    </w:p>
    <w:p w14:paraId="3D2D2045" w14:textId="77777777" w:rsidR="006C4BA4" w:rsidRPr="008507EE" w:rsidRDefault="006C4BA4" w:rsidP="006C4BA4">
      <w:pPr>
        <w:pStyle w:val="FSCtPara"/>
      </w:pPr>
      <w:r w:rsidRPr="008507EE">
        <w:tab/>
        <w:t>(d)</w:t>
      </w:r>
      <w:r w:rsidRPr="008507EE">
        <w:tab/>
        <w:t>for inulin—section 999.03;</w:t>
      </w:r>
    </w:p>
    <w:p w14:paraId="1E90FD92" w14:textId="663A7836" w:rsidR="00E67574" w:rsidRDefault="00E67574" w:rsidP="00E67574">
      <w:pPr>
        <w:pStyle w:val="FSCtPara"/>
      </w:pPr>
      <w:r>
        <w:tab/>
      </w:r>
      <w:r w:rsidRPr="001D1563">
        <w:t>(e)</w:t>
      </w:r>
      <w:r w:rsidRPr="001D1563">
        <w:tab/>
        <w:t>for polydextrose—section 2000.11</w:t>
      </w:r>
      <w:r>
        <w:t>;</w:t>
      </w:r>
    </w:p>
    <w:p w14:paraId="073BBB8E" w14:textId="6C228E8D" w:rsidR="006C4BA4" w:rsidRPr="008507EE" w:rsidRDefault="00E67574" w:rsidP="00E67574">
      <w:pPr>
        <w:pStyle w:val="FSCtPara"/>
      </w:pPr>
      <w:r>
        <w:tab/>
        <w:t>(f)</w:t>
      </w:r>
      <w:r>
        <w:tab/>
        <w:t>for resistant starch</w:t>
      </w:r>
      <w:r w:rsidRPr="001D1563">
        <w:t>—</w:t>
      </w:r>
      <w:r>
        <w:t>section 2002.02</w:t>
      </w:r>
      <w:r w:rsidR="006C4BA4" w:rsidRPr="008507EE">
        <w:t>.</w:t>
      </w:r>
    </w:p>
    <w:p w14:paraId="1996EAD0" w14:textId="77777777" w:rsidR="006C4BA4" w:rsidRPr="008507EE" w:rsidRDefault="006C4BA4" w:rsidP="006C4BA4">
      <w:pPr>
        <w:pStyle w:val="FSCtMain"/>
      </w:pPr>
      <w:r w:rsidRPr="008507EE">
        <w:tab/>
        <w:t>(3)</w:t>
      </w:r>
      <w:r w:rsidRPr="008507EE">
        <w:tab/>
        <w:t>If the dietary fibre content of a food has been determined by more than 1 method of analysis, the total dietary fibre content is calculated by:</w:t>
      </w:r>
    </w:p>
    <w:p w14:paraId="4DBAF831" w14:textId="77777777" w:rsidR="006C4BA4" w:rsidRPr="008507EE" w:rsidRDefault="006C4BA4" w:rsidP="006C4BA4">
      <w:pPr>
        <w:pStyle w:val="FSCtPara"/>
      </w:pPr>
      <w:r w:rsidRPr="008507EE">
        <w:tab/>
        <w:t>(a)</w:t>
      </w:r>
      <w:r w:rsidRPr="008507EE">
        <w:tab/>
        <w:t>adding together the results from each method of analysis; and</w:t>
      </w:r>
    </w:p>
    <w:p w14:paraId="18D04658" w14:textId="77777777" w:rsidR="006C4BA4" w:rsidRPr="008507EE" w:rsidRDefault="006C4BA4" w:rsidP="006C4BA4">
      <w:pPr>
        <w:pStyle w:val="FSCtPara"/>
      </w:pPr>
      <w:r w:rsidRPr="008507EE">
        <w:tab/>
        <w:t>(b)</w:t>
      </w:r>
      <w:r w:rsidRPr="008507EE">
        <w:tab/>
        <w:t>subtracting any portion of dietary fibre which has been included in the results of more than one method of analysis.</w:t>
      </w:r>
    </w:p>
    <w:p w14:paraId="09276FF2" w14:textId="77777777" w:rsidR="006C4BA4" w:rsidRPr="008507EE" w:rsidRDefault="006C4BA4" w:rsidP="006C4BA4">
      <w:pPr>
        <w:pStyle w:val="FSCh5Section"/>
      </w:pPr>
      <w:r w:rsidRPr="008507EE">
        <w:t>Schedule 15 – Substances that may be used as food additives</w:t>
      </w:r>
    </w:p>
    <w:p w14:paraId="48FE3F73" w14:textId="04C39663" w:rsidR="006C4BA4" w:rsidRPr="008507EE" w:rsidRDefault="00107135" w:rsidP="006C4BA4">
      <w:pPr>
        <w:pStyle w:val="FSCDraftingitemheading"/>
      </w:pPr>
      <w:r>
        <w:t>[</w:t>
      </w:r>
      <w:r w:rsidR="00BD5B98">
        <w:t>21</w:t>
      </w:r>
      <w:r w:rsidR="006C4BA4" w:rsidRPr="008507EE">
        <w:t>]</w:t>
      </w:r>
      <w:r w:rsidR="006C4BA4" w:rsidRPr="008507EE">
        <w:tab/>
      </w:r>
      <w:r w:rsidR="009A6870">
        <w:t>S</w:t>
      </w:r>
      <w:r w:rsidR="006C4BA4" w:rsidRPr="008507EE">
        <w:t xml:space="preserve">ection </w:t>
      </w:r>
      <w:r w:rsidR="00FA2DA1">
        <w:t>S</w:t>
      </w:r>
      <w:r w:rsidR="006C4BA4" w:rsidRPr="008507EE">
        <w:t>15—5</w:t>
      </w:r>
      <w:r w:rsidR="009A6870">
        <w:t xml:space="preserve"> (table)</w:t>
      </w:r>
    </w:p>
    <w:p w14:paraId="5CD502E1" w14:textId="77777777" w:rsidR="006C4BA4" w:rsidRPr="008507EE" w:rsidRDefault="006C4BA4" w:rsidP="006C4BA4">
      <w:pPr>
        <w:pStyle w:val="FSCDraftingitem"/>
        <w:ind w:left="851"/>
      </w:pPr>
      <w:r w:rsidRPr="008507EE">
        <w:t>Omit ‘9.3.2’, substitute ‘9.3.1’</w:t>
      </w:r>
    </w:p>
    <w:p w14:paraId="72DC655A" w14:textId="77777777" w:rsidR="006C4BA4" w:rsidRPr="008507EE" w:rsidRDefault="006C4BA4" w:rsidP="006C4BA4">
      <w:pPr>
        <w:pStyle w:val="FSCh5Section"/>
      </w:pPr>
      <w:r w:rsidRPr="008507EE">
        <w:t>Schedule 18 – Processing aids</w:t>
      </w:r>
    </w:p>
    <w:p w14:paraId="0C2911F4" w14:textId="5E6CFB73" w:rsidR="006C4BA4" w:rsidRPr="008507EE" w:rsidRDefault="006C4BA4" w:rsidP="006C4BA4">
      <w:pPr>
        <w:pStyle w:val="FSCDraftingitemheading"/>
      </w:pPr>
      <w:r w:rsidRPr="008507EE">
        <w:t>[</w:t>
      </w:r>
      <w:r w:rsidR="00BD5B98">
        <w:t>22</w:t>
      </w:r>
      <w:r w:rsidRPr="008507EE">
        <w:t>]</w:t>
      </w:r>
      <w:r w:rsidRPr="008507EE">
        <w:tab/>
        <w:t>Section S18—3</w:t>
      </w:r>
    </w:p>
    <w:p w14:paraId="4FD5CBCC" w14:textId="4E3AA317" w:rsidR="00F227E0" w:rsidRDefault="006C4BA4" w:rsidP="006C4BA4">
      <w:pPr>
        <w:pStyle w:val="FSCDraftingitem"/>
        <w:ind w:left="851"/>
      </w:pPr>
      <w:r w:rsidRPr="008507EE">
        <w:t xml:space="preserve">Omit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F227E0" w:rsidRPr="00DE26F8" w14:paraId="5BF56E04" w14:textId="77777777" w:rsidTr="00F2160C">
        <w:trPr>
          <w:cantSplit/>
          <w:jc w:val="center"/>
        </w:trPr>
        <w:tc>
          <w:tcPr>
            <w:tcW w:w="6391" w:type="dxa"/>
            <w:tcBorders>
              <w:bottom w:val="single" w:sz="4" w:space="0" w:color="auto"/>
            </w:tcBorders>
          </w:tcPr>
          <w:p w14:paraId="3BA25356" w14:textId="77777777" w:rsidR="00F227E0" w:rsidRPr="00DE26F8" w:rsidRDefault="00F227E0" w:rsidP="00F2160C">
            <w:pPr>
              <w:pStyle w:val="FSCtblMain"/>
            </w:pPr>
            <w:r w:rsidRPr="00DE26F8">
              <w:t>Dimethyldialkylammonium chloride</w:t>
            </w:r>
          </w:p>
        </w:tc>
        <w:tc>
          <w:tcPr>
            <w:tcW w:w="2681" w:type="dxa"/>
            <w:tcBorders>
              <w:bottom w:val="single" w:sz="4" w:space="0" w:color="auto"/>
            </w:tcBorders>
          </w:tcPr>
          <w:p w14:paraId="5D63E282" w14:textId="77777777" w:rsidR="00F227E0" w:rsidRPr="00DE26F8" w:rsidRDefault="00F227E0" w:rsidP="00F2160C">
            <w:pPr>
              <w:pStyle w:val="FSCtblMain"/>
            </w:pPr>
            <w:r w:rsidRPr="00DE26F8">
              <w:t>GMP</w:t>
            </w:r>
          </w:p>
        </w:tc>
      </w:tr>
      <w:tr w:rsidR="00F227E0" w:rsidRPr="00DE26F8" w14:paraId="675D83C0" w14:textId="77777777" w:rsidTr="00F2160C">
        <w:trPr>
          <w:cantSplit/>
          <w:jc w:val="center"/>
        </w:trPr>
        <w:tc>
          <w:tcPr>
            <w:tcW w:w="9072" w:type="dxa"/>
            <w:gridSpan w:val="2"/>
            <w:tcBorders>
              <w:top w:val="single" w:sz="4" w:space="0" w:color="auto"/>
              <w:bottom w:val="single" w:sz="4" w:space="0" w:color="auto"/>
            </w:tcBorders>
          </w:tcPr>
          <w:p w14:paraId="718A72A8" w14:textId="77777777" w:rsidR="00F227E0" w:rsidRPr="00DE26F8" w:rsidRDefault="00F227E0" w:rsidP="00F2160C">
            <w:pPr>
              <w:pStyle w:val="FSCtblh4"/>
            </w:pPr>
            <w:r w:rsidRPr="00DE26F8">
              <w:t xml:space="preserve">Technological purpose—decolourants, clarifying, filtration and adsorbent agents </w:t>
            </w:r>
          </w:p>
        </w:tc>
      </w:tr>
    </w:tbl>
    <w:p w14:paraId="33517F44" w14:textId="77777777" w:rsidR="00F227E0" w:rsidRDefault="00F227E0" w:rsidP="006C4BA4">
      <w:pPr>
        <w:pStyle w:val="FSCDraftingitem"/>
        <w:ind w:left="851"/>
      </w:pPr>
      <w:r>
        <w:t xml:space="preserve">Substitute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F227E0" w:rsidRPr="00DE26F8" w14:paraId="25183C38" w14:textId="77777777" w:rsidTr="00D56057">
        <w:trPr>
          <w:cantSplit/>
          <w:jc w:val="center"/>
        </w:trPr>
        <w:tc>
          <w:tcPr>
            <w:tcW w:w="6391" w:type="dxa"/>
          </w:tcPr>
          <w:p w14:paraId="6884ECF6" w14:textId="77777777" w:rsidR="00F227E0" w:rsidRPr="00DE26F8" w:rsidRDefault="00F227E0" w:rsidP="00F2160C">
            <w:pPr>
              <w:pStyle w:val="FSCtblMain"/>
            </w:pPr>
            <w:r w:rsidRPr="00DE26F8">
              <w:t>Dimethyldialkylammonium chloride</w:t>
            </w:r>
          </w:p>
        </w:tc>
        <w:tc>
          <w:tcPr>
            <w:tcW w:w="2681" w:type="dxa"/>
          </w:tcPr>
          <w:p w14:paraId="4E837B26" w14:textId="77777777" w:rsidR="00F227E0" w:rsidRPr="00DE26F8" w:rsidRDefault="00F227E0" w:rsidP="00F2160C">
            <w:pPr>
              <w:pStyle w:val="FSCtblMain"/>
            </w:pPr>
            <w:r w:rsidRPr="00DE26F8">
              <w:t>GMP</w:t>
            </w:r>
          </w:p>
        </w:tc>
      </w:tr>
    </w:tbl>
    <w:p w14:paraId="1EA2729E" w14:textId="3A8F885D" w:rsidR="006C4BA4" w:rsidRPr="008507EE" w:rsidRDefault="006C4BA4" w:rsidP="00D56057">
      <w:pPr>
        <w:pStyle w:val="FSCDraftingitem"/>
      </w:pPr>
    </w:p>
    <w:p w14:paraId="5913DAFC" w14:textId="10279092" w:rsidR="006C4BA4" w:rsidRPr="008507EE" w:rsidRDefault="006C4BA4" w:rsidP="006C4BA4">
      <w:pPr>
        <w:pStyle w:val="FSCDraftingitemheading"/>
      </w:pPr>
      <w:r w:rsidRPr="008507EE">
        <w:t>[</w:t>
      </w:r>
      <w:r w:rsidR="00BD5B98">
        <w:t>23</w:t>
      </w:r>
      <w:r w:rsidRPr="008507EE">
        <w:t>]</w:t>
      </w:r>
      <w:r w:rsidRPr="008507EE">
        <w:tab/>
        <w:t>Subsection S18—9(3)</w:t>
      </w:r>
      <w:r w:rsidR="002851B6">
        <w:t xml:space="preserve"> (Heading to the table)</w:t>
      </w:r>
    </w:p>
    <w:p w14:paraId="4E48F31D" w14:textId="04F5CB43" w:rsidR="002851B6" w:rsidRDefault="006C4BA4" w:rsidP="002851B6">
      <w:pPr>
        <w:pStyle w:val="FSCDraftingitem"/>
        <w:ind w:left="851"/>
      </w:pPr>
      <w:r w:rsidRPr="008507EE">
        <w:t>Omit</w:t>
      </w:r>
      <w:r w:rsidR="002851B6">
        <w:t xml:space="preserve"> ‘</w:t>
      </w:r>
      <w:r w:rsidR="002851B6" w:rsidRPr="008507EE">
        <w:t>Technological purpose</w:t>
      </w:r>
      <w:r w:rsidR="00B60EE0">
        <w:t>” wherever</w:t>
      </w:r>
      <w:r w:rsidR="002851B6">
        <w:t xml:space="preserve"> occurring, substitute ‘</w:t>
      </w:r>
      <w:r w:rsidR="002851B6" w:rsidRPr="008507EE">
        <w:t>Technological purpose and food</w:t>
      </w:r>
      <w:r w:rsidR="002851B6">
        <w:t>’</w:t>
      </w:r>
    </w:p>
    <w:p w14:paraId="3B9CA199" w14:textId="02D3EAAA" w:rsidR="002851B6" w:rsidRPr="008507EE" w:rsidRDefault="002851B6" w:rsidP="002851B6">
      <w:pPr>
        <w:pStyle w:val="FSCDraftingitemheading"/>
      </w:pPr>
      <w:r w:rsidRPr="008507EE">
        <w:t>[</w:t>
      </w:r>
      <w:r>
        <w:t>23A</w:t>
      </w:r>
      <w:r w:rsidRPr="008507EE">
        <w:t>]</w:t>
      </w:r>
      <w:r w:rsidRPr="008507EE">
        <w:tab/>
        <w:t>Subsection S18—9(3)</w:t>
      </w:r>
      <w:r>
        <w:t xml:space="preserve"> (Heading to the table)</w:t>
      </w:r>
    </w:p>
    <w:p w14:paraId="02F03969" w14:textId="6DFE5ADB" w:rsidR="002851B6" w:rsidRDefault="002851B6" w:rsidP="002851B6">
      <w:pPr>
        <w:pStyle w:val="FSCDraftingitem"/>
        <w:ind w:left="851"/>
      </w:pPr>
      <w:r w:rsidRPr="008507EE">
        <w:t>Omit</w:t>
      </w:r>
      <w:r>
        <w:t xml:space="preserve"> ‘</w:t>
      </w:r>
      <w:r w:rsidRPr="008507EE">
        <w:t>Maximum permitted and food level (mg/kg)</w:t>
      </w:r>
      <w:r>
        <w:t xml:space="preserve">’ </w:t>
      </w:r>
      <w:r w:rsidR="00B60EE0">
        <w:t xml:space="preserve">wherever </w:t>
      </w:r>
      <w:r>
        <w:t>occurring, substitute ‘</w:t>
      </w:r>
      <w:r w:rsidRPr="008507EE">
        <w:t>Maximum permitted level (mg/kg)</w:t>
      </w:r>
      <w:r>
        <w:t>’</w:t>
      </w:r>
    </w:p>
    <w:p w14:paraId="688CD0F0" w14:textId="77777777" w:rsidR="006C4BA4" w:rsidRPr="008507EE" w:rsidRDefault="006C4BA4" w:rsidP="006C4BA4">
      <w:pPr>
        <w:pStyle w:val="FSCh5Section"/>
      </w:pPr>
      <w:r w:rsidRPr="008507EE">
        <w:t>Schedule 26 – Food produced using gene technology</w:t>
      </w:r>
    </w:p>
    <w:p w14:paraId="7D3869A4" w14:textId="1CA42A49" w:rsidR="006C4BA4" w:rsidRPr="008507EE" w:rsidRDefault="006C4BA4" w:rsidP="006C4BA4">
      <w:pPr>
        <w:pStyle w:val="FSCDraftingitemheading"/>
      </w:pPr>
      <w:r w:rsidRPr="008507EE">
        <w:t>[</w:t>
      </w:r>
      <w:r w:rsidR="00107135">
        <w:t>2</w:t>
      </w:r>
      <w:r w:rsidR="00BD5B98">
        <w:t>4</w:t>
      </w:r>
      <w:r w:rsidRPr="008507EE">
        <w:t>]</w:t>
      </w:r>
      <w:r w:rsidRPr="008507EE">
        <w:tab/>
      </w:r>
      <w:r w:rsidR="009A6870">
        <w:t>S</w:t>
      </w:r>
      <w:r w:rsidRPr="008507EE">
        <w:t>ubsection S26—3(4)</w:t>
      </w:r>
      <w:r w:rsidR="009A6870">
        <w:t xml:space="preserve"> (Item 1(g) of the table)</w:t>
      </w:r>
    </w:p>
    <w:p w14:paraId="7839AC57" w14:textId="60F6EF96" w:rsidR="006C4BA4" w:rsidRPr="008507EE" w:rsidRDefault="006C4BA4" w:rsidP="006C4BA4">
      <w:pPr>
        <w:pStyle w:val="FSCDraftingitem"/>
        <w:ind w:left="851"/>
      </w:pPr>
      <w:r w:rsidRPr="008507EE">
        <w:t>Omit ‘products’, substitute ‘products (see subsection (2))’</w:t>
      </w:r>
    </w:p>
    <w:p w14:paraId="579577DF" w14:textId="76F25717" w:rsidR="006C4BA4" w:rsidRPr="008507EE" w:rsidRDefault="00107135" w:rsidP="006C4BA4">
      <w:pPr>
        <w:pStyle w:val="FSCDraftingitemheading"/>
      </w:pPr>
      <w:r>
        <w:t>[2</w:t>
      </w:r>
      <w:r w:rsidR="00BD5B98">
        <w:t>5</w:t>
      </w:r>
      <w:r w:rsidR="006C4BA4" w:rsidRPr="008507EE">
        <w:t>]</w:t>
      </w:r>
      <w:r w:rsidR="006C4BA4" w:rsidRPr="008507EE">
        <w:tab/>
      </w:r>
      <w:r w:rsidR="009A6870">
        <w:t>S</w:t>
      </w:r>
      <w:r w:rsidR="006C4BA4" w:rsidRPr="008507EE">
        <w:t>ubsection S26—3(4)</w:t>
      </w:r>
      <w:r w:rsidR="009A6870">
        <w:t xml:space="preserve"> (Item 6(b) of the table)</w:t>
      </w:r>
    </w:p>
    <w:p w14:paraId="1C248001" w14:textId="77777777" w:rsidR="006C4BA4" w:rsidRPr="008507EE" w:rsidRDefault="006C4BA4" w:rsidP="006C4BA4">
      <w:pPr>
        <w:pStyle w:val="FSCDraftingitem"/>
        <w:ind w:left="851"/>
      </w:pPr>
      <w:r w:rsidRPr="008507EE">
        <w:t>Omit ‘GR2E’, substitute ‘GR2E (see subsection (2A))’</w:t>
      </w:r>
    </w:p>
    <w:p w14:paraId="3F4F5F9C" w14:textId="77777777" w:rsidR="006C4BA4" w:rsidRPr="008507EE" w:rsidRDefault="006C4BA4" w:rsidP="006C4BA4">
      <w:pPr>
        <w:pStyle w:val="FSCDraftingitem"/>
        <w:rPr>
          <w:b/>
          <w:sz w:val="22"/>
          <w:szCs w:val="22"/>
        </w:rPr>
      </w:pPr>
      <w:r w:rsidRPr="008507EE">
        <w:rPr>
          <w:b/>
          <w:sz w:val="22"/>
          <w:szCs w:val="22"/>
        </w:rPr>
        <w:t>Schedule 29 – Special purpose foods</w:t>
      </w:r>
    </w:p>
    <w:p w14:paraId="6313B4D1" w14:textId="52085F6A" w:rsidR="006C4BA4" w:rsidRPr="008507EE" w:rsidRDefault="006C4BA4" w:rsidP="006C4BA4">
      <w:pPr>
        <w:pStyle w:val="FSCDraftingitemheading"/>
      </w:pPr>
      <w:r w:rsidRPr="008507EE">
        <w:t>[</w:t>
      </w:r>
      <w:r w:rsidR="00107135">
        <w:t>2</w:t>
      </w:r>
      <w:r w:rsidR="00BD5B98">
        <w:t>6</w:t>
      </w:r>
      <w:r w:rsidRPr="008507EE">
        <w:t>]</w:t>
      </w:r>
      <w:r w:rsidRPr="008507EE">
        <w:tab/>
        <w:t>Subsection S29—14(1)</w:t>
      </w:r>
    </w:p>
    <w:p w14:paraId="060CAB44" w14:textId="77777777" w:rsidR="006C4BA4" w:rsidRPr="008507EE" w:rsidRDefault="006C4BA4" w:rsidP="006C4BA4">
      <w:pPr>
        <w:pStyle w:val="FSCDraftingitem"/>
        <w:ind w:left="851"/>
      </w:pPr>
      <w:r w:rsidRPr="008507EE">
        <w:t>Omit ‘section 2.9.3—5’, substitute ‘sections 2.9.3—5 and 2.9.3—6’</w:t>
      </w:r>
    </w:p>
    <w:p w14:paraId="2F13146A" w14:textId="183E3C10" w:rsidR="006C4BA4" w:rsidRPr="008507EE" w:rsidRDefault="006C4BA4" w:rsidP="006C4BA4">
      <w:pPr>
        <w:pStyle w:val="FSCDraftingitemheading"/>
      </w:pPr>
      <w:r w:rsidRPr="008507EE">
        <w:t>[</w:t>
      </w:r>
      <w:r w:rsidR="00107135">
        <w:t>2</w:t>
      </w:r>
      <w:r w:rsidR="00BD5B98">
        <w:t>7</w:t>
      </w:r>
      <w:r w:rsidRPr="008507EE">
        <w:t>]</w:t>
      </w:r>
      <w:r w:rsidRPr="008507EE">
        <w:tab/>
      </w:r>
      <w:r w:rsidR="009A6870">
        <w:t>S</w:t>
      </w:r>
      <w:r w:rsidRPr="008507EE">
        <w:t>ection S29—20</w:t>
      </w:r>
      <w:r w:rsidR="009A6870">
        <w:t xml:space="preserve"> (table)</w:t>
      </w:r>
    </w:p>
    <w:p w14:paraId="0A02EFA4" w14:textId="77777777" w:rsidR="006C4BA4" w:rsidRPr="008507EE" w:rsidRDefault="006C4BA4" w:rsidP="006C4BA4">
      <w:pPr>
        <w:pStyle w:val="FSCDraftingitem"/>
        <w:ind w:left="851"/>
      </w:pPr>
      <w:r w:rsidRPr="008507EE">
        <w:t xml:space="preserve">Omit </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6C4BA4" w:rsidRPr="008507EE" w14:paraId="59824A22" w14:textId="77777777" w:rsidTr="00161B93">
        <w:trPr>
          <w:cantSplit/>
          <w:jc w:val="center"/>
        </w:trPr>
        <w:tc>
          <w:tcPr>
            <w:tcW w:w="3969" w:type="dxa"/>
          </w:tcPr>
          <w:p w14:paraId="2DB024D8" w14:textId="77777777" w:rsidR="006C4BA4" w:rsidRPr="008507EE" w:rsidRDefault="006C4BA4" w:rsidP="00161B93">
            <w:pPr>
              <w:pStyle w:val="FSCtblMain"/>
            </w:pPr>
            <w:r w:rsidRPr="008507EE">
              <w:lastRenderedPageBreak/>
              <w:t>L-cystine</w:t>
            </w:r>
          </w:p>
        </w:tc>
      </w:tr>
      <w:tr w:rsidR="006C4BA4" w:rsidRPr="008507EE" w14:paraId="4B6FCB12" w14:textId="77777777" w:rsidTr="00161B93">
        <w:trPr>
          <w:cantSplit/>
          <w:jc w:val="center"/>
        </w:trPr>
        <w:tc>
          <w:tcPr>
            <w:tcW w:w="3969" w:type="dxa"/>
          </w:tcPr>
          <w:p w14:paraId="7662E81E" w14:textId="77777777" w:rsidR="006C4BA4" w:rsidRPr="008507EE" w:rsidRDefault="006C4BA4" w:rsidP="00161B93">
            <w:pPr>
              <w:pStyle w:val="FSCtblMain"/>
            </w:pPr>
          </w:p>
        </w:tc>
      </w:tr>
      <w:tr w:rsidR="006C4BA4" w:rsidRPr="008507EE" w14:paraId="798FFE7D" w14:textId="77777777" w:rsidTr="00161B93">
        <w:trPr>
          <w:cantSplit/>
          <w:jc w:val="center"/>
        </w:trPr>
        <w:tc>
          <w:tcPr>
            <w:tcW w:w="3969" w:type="dxa"/>
          </w:tcPr>
          <w:p w14:paraId="1ACE5B44" w14:textId="77777777" w:rsidR="006C4BA4" w:rsidRPr="008507EE" w:rsidRDefault="006C4BA4" w:rsidP="00161B93">
            <w:pPr>
              <w:pStyle w:val="FSCtblMain"/>
            </w:pPr>
            <w:r w:rsidRPr="008507EE">
              <w:t>L-glutamic acid</w:t>
            </w:r>
          </w:p>
        </w:tc>
      </w:tr>
    </w:tbl>
    <w:p w14:paraId="242309DB" w14:textId="77777777" w:rsidR="006C4BA4" w:rsidRPr="008507EE" w:rsidRDefault="006C4BA4" w:rsidP="006C4BA4">
      <w:pPr>
        <w:tabs>
          <w:tab w:val="left" w:pos="851"/>
        </w:tabs>
        <w:rPr>
          <w:b/>
          <w:sz w:val="20"/>
          <w:szCs w:val="20"/>
          <w:lang w:bidi="ar-SA"/>
        </w:rPr>
      </w:pPr>
      <w:r w:rsidRPr="008507EE">
        <w:rPr>
          <w:sz w:val="20"/>
          <w:szCs w:val="20"/>
          <w:lang w:bidi="ar-SA"/>
        </w:rPr>
        <w:tab/>
      </w:r>
    </w:p>
    <w:p w14:paraId="6F3DE78E" w14:textId="77777777" w:rsidR="006C4BA4" w:rsidRPr="008507EE" w:rsidRDefault="006C4BA4" w:rsidP="006C4BA4">
      <w:pPr>
        <w:tabs>
          <w:tab w:val="left" w:pos="851"/>
        </w:tabs>
        <w:rPr>
          <w:sz w:val="20"/>
          <w:szCs w:val="20"/>
          <w:lang w:bidi="ar-SA"/>
        </w:rPr>
      </w:pPr>
      <w:r w:rsidRPr="008507EE">
        <w:rPr>
          <w:sz w:val="20"/>
          <w:szCs w:val="20"/>
          <w:lang w:bidi="ar-SA"/>
        </w:rPr>
        <w:tab/>
        <w:t>Substitute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6C4BA4" w:rsidRPr="008507EE" w14:paraId="6D96CBDC" w14:textId="77777777" w:rsidTr="00161B93">
        <w:trPr>
          <w:cantSplit/>
          <w:jc w:val="center"/>
        </w:trPr>
        <w:tc>
          <w:tcPr>
            <w:tcW w:w="3969" w:type="dxa"/>
          </w:tcPr>
          <w:p w14:paraId="34E919FD" w14:textId="77777777" w:rsidR="006C4BA4" w:rsidRPr="008507EE" w:rsidRDefault="006C4BA4" w:rsidP="00161B93">
            <w:pPr>
              <w:pStyle w:val="FSCtblMain"/>
            </w:pPr>
            <w:r w:rsidRPr="008507EE">
              <w:t>L-cystine</w:t>
            </w:r>
          </w:p>
        </w:tc>
      </w:tr>
      <w:tr w:rsidR="006C4BA4" w:rsidRPr="007439CB" w14:paraId="1F3B5695" w14:textId="77777777" w:rsidTr="00161B93">
        <w:trPr>
          <w:cantSplit/>
          <w:jc w:val="center"/>
        </w:trPr>
        <w:tc>
          <w:tcPr>
            <w:tcW w:w="3969" w:type="dxa"/>
          </w:tcPr>
          <w:p w14:paraId="4D17A5AA" w14:textId="77777777" w:rsidR="006C4BA4" w:rsidRPr="007439CB" w:rsidRDefault="006C4BA4" w:rsidP="00161B93">
            <w:pPr>
              <w:pStyle w:val="FSCtblMain"/>
            </w:pPr>
            <w:r w:rsidRPr="008507EE">
              <w:rPr>
                <w:szCs w:val="18"/>
              </w:rPr>
              <w:t>L-glutamic acid</w:t>
            </w:r>
          </w:p>
        </w:tc>
      </w:tr>
    </w:tbl>
    <w:p w14:paraId="42755437" w14:textId="77777777" w:rsidR="006C4BA4" w:rsidRPr="00D71A1E" w:rsidRDefault="006C4BA4" w:rsidP="006C4BA4">
      <w:pPr>
        <w:tabs>
          <w:tab w:val="left" w:pos="851"/>
        </w:tabs>
        <w:rPr>
          <w:sz w:val="20"/>
          <w:szCs w:val="20"/>
          <w:lang w:bidi="ar-SA"/>
        </w:rPr>
      </w:pPr>
    </w:p>
    <w:p w14:paraId="2A2CA3C3" w14:textId="77777777" w:rsidR="006C4BA4" w:rsidRDefault="006C4BA4" w:rsidP="006C4BA4">
      <w:r>
        <w:br w:type="page"/>
      </w:r>
    </w:p>
    <w:p w14:paraId="0D934B41" w14:textId="77777777" w:rsidR="006C4BA4" w:rsidRDefault="006C4BA4" w:rsidP="006C4BA4">
      <w:pPr>
        <w:pStyle w:val="Heading2"/>
      </w:pPr>
      <w:bookmarkStart w:id="116" w:name="_Toc300933454"/>
      <w:bookmarkStart w:id="117" w:name="_Toc465771740"/>
      <w:bookmarkStart w:id="118" w:name="_Toc479768605"/>
      <w:r w:rsidRPr="00932F14">
        <w:lastRenderedPageBreak/>
        <w:t xml:space="preserve">Attachment </w:t>
      </w:r>
      <w:r>
        <w:t>B – Draft Explanatory Statement</w:t>
      </w:r>
      <w:bookmarkEnd w:id="116"/>
      <w:bookmarkEnd w:id="117"/>
      <w:bookmarkEnd w:id="118"/>
    </w:p>
    <w:p w14:paraId="66BAC72A" w14:textId="77777777" w:rsidR="006C4BA4" w:rsidRPr="00CC479A" w:rsidRDefault="006C4BA4" w:rsidP="006C4BA4">
      <w:pPr>
        <w:rPr>
          <w:b/>
          <w:lang w:val="en-AU" w:eastAsia="en-GB" w:bidi="ar-SA"/>
        </w:rPr>
      </w:pPr>
      <w:r w:rsidRPr="00CC479A">
        <w:rPr>
          <w:b/>
          <w:lang w:val="en-AU" w:eastAsia="en-GB" w:bidi="ar-SA"/>
        </w:rPr>
        <w:t>1.</w:t>
      </w:r>
      <w:r w:rsidRPr="00CC479A">
        <w:rPr>
          <w:b/>
          <w:lang w:val="en-AU" w:eastAsia="en-GB" w:bidi="ar-SA"/>
        </w:rPr>
        <w:tab/>
        <w:t>Authority</w:t>
      </w:r>
    </w:p>
    <w:p w14:paraId="26778C32" w14:textId="77777777" w:rsidR="006C4BA4" w:rsidRPr="00CC479A" w:rsidRDefault="006C4BA4" w:rsidP="006C4BA4">
      <w:pPr>
        <w:rPr>
          <w:lang w:val="en-AU" w:eastAsia="en-GB" w:bidi="ar-SA"/>
        </w:rPr>
      </w:pPr>
    </w:p>
    <w:p w14:paraId="5CE63CCD" w14:textId="77777777" w:rsidR="00E847D8" w:rsidRPr="00653D9D" w:rsidRDefault="00E847D8" w:rsidP="00E847D8">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Section 13 of the </w:t>
      </w:r>
      <w:r w:rsidRPr="00653D9D">
        <w:rPr>
          <w:rFonts w:eastAsia="Calibri" w:cs="Arial"/>
          <w:bCs/>
          <w:i/>
          <w:szCs w:val="22"/>
          <w:lang w:val="en-AU" w:bidi="ar-SA"/>
        </w:rPr>
        <w:t>Food Standards Australia New Zealand Act 1991</w:t>
      </w:r>
      <w:r w:rsidRPr="00653D9D">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653D9D">
        <w:rPr>
          <w:rFonts w:eastAsia="Calibri" w:cs="Arial"/>
          <w:bCs/>
          <w:i/>
          <w:szCs w:val="22"/>
          <w:lang w:val="en-AU" w:bidi="ar-SA"/>
        </w:rPr>
        <w:t>Australia New Zealand Food Standards Code</w:t>
      </w:r>
      <w:r w:rsidRPr="00653D9D">
        <w:rPr>
          <w:rFonts w:eastAsia="Calibri" w:cs="Arial"/>
          <w:bCs/>
          <w:szCs w:val="22"/>
          <w:lang w:val="en-AU" w:bidi="ar-SA"/>
        </w:rPr>
        <w:t xml:space="preserve"> (the Code).</w:t>
      </w:r>
    </w:p>
    <w:p w14:paraId="07B7612A" w14:textId="77777777" w:rsidR="00E847D8" w:rsidRPr="00653D9D" w:rsidRDefault="00E847D8" w:rsidP="00E847D8">
      <w:pPr>
        <w:widowControl/>
        <w:autoSpaceDE w:val="0"/>
        <w:autoSpaceDN w:val="0"/>
        <w:adjustRightInd w:val="0"/>
        <w:rPr>
          <w:rFonts w:eastAsia="Calibri" w:cs="Arial"/>
          <w:bCs/>
          <w:szCs w:val="22"/>
          <w:lang w:val="en-AU" w:bidi="ar-SA"/>
        </w:rPr>
      </w:pPr>
    </w:p>
    <w:p w14:paraId="21172FD2" w14:textId="77777777" w:rsidR="00E847D8" w:rsidRPr="00653D9D" w:rsidRDefault="00E847D8" w:rsidP="00E847D8">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11926189" w14:textId="77777777" w:rsidR="00E847D8" w:rsidRPr="00653D9D" w:rsidRDefault="00E847D8" w:rsidP="00E847D8">
      <w:pPr>
        <w:widowControl/>
        <w:autoSpaceDE w:val="0"/>
        <w:autoSpaceDN w:val="0"/>
        <w:adjustRightInd w:val="0"/>
        <w:rPr>
          <w:rFonts w:eastAsia="Calibri" w:cs="Arial"/>
          <w:bCs/>
          <w:szCs w:val="22"/>
          <w:lang w:val="en-AU" w:bidi="ar-SA"/>
        </w:rPr>
      </w:pPr>
    </w:p>
    <w:p w14:paraId="37B47ADE" w14:textId="6C3C7C02" w:rsidR="00E847D8" w:rsidRPr="00653D9D" w:rsidRDefault="00E847D8" w:rsidP="00E847D8">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The Authority prepared Proposal P104</w:t>
      </w:r>
      <w:r w:rsidR="007C77DC">
        <w:rPr>
          <w:rFonts w:eastAsia="Calibri" w:cs="Arial"/>
          <w:bCs/>
          <w:szCs w:val="22"/>
          <w:lang w:val="en-AU" w:bidi="ar-SA"/>
        </w:rPr>
        <w:t>8</w:t>
      </w:r>
      <w:r w:rsidRPr="00653D9D">
        <w:rPr>
          <w:rFonts w:eastAsia="Calibri" w:cs="Arial"/>
          <w:bCs/>
          <w:szCs w:val="22"/>
          <w:lang w:val="en-AU" w:bidi="ar-SA"/>
        </w:rPr>
        <w:t xml:space="preserve"> to </w:t>
      </w:r>
      <w:r w:rsidRPr="00653D9D">
        <w:rPr>
          <w:lang w:bidi="ar-SA"/>
        </w:rPr>
        <w:t>make a range of minor amendments to the Code including the correction of typographical errors, formatting issues, and updating of references</w:t>
      </w:r>
      <w:r w:rsidRPr="00653D9D">
        <w:rPr>
          <w:rFonts w:eastAsia="Calibri" w:cs="Arial"/>
          <w:bCs/>
          <w:szCs w:val="22"/>
          <w:lang w:val="en-AU" w:bidi="ar-SA"/>
        </w:rPr>
        <w:t xml:space="preserve">. The Authority considered the Proposal in accordance with Division 2 of Part 3 and has approved a draft </w:t>
      </w:r>
      <w:r w:rsidR="002D3B60">
        <w:rPr>
          <w:rFonts w:eastAsia="Calibri" w:cs="Arial"/>
          <w:bCs/>
          <w:szCs w:val="22"/>
          <w:lang w:val="en-AU" w:bidi="ar-SA"/>
        </w:rPr>
        <w:t>variation with amendments.</w:t>
      </w:r>
    </w:p>
    <w:p w14:paraId="21DA7609" w14:textId="77777777" w:rsidR="00E847D8" w:rsidRPr="00653D9D" w:rsidRDefault="00E847D8" w:rsidP="00E847D8">
      <w:pPr>
        <w:widowControl/>
        <w:autoSpaceDE w:val="0"/>
        <w:autoSpaceDN w:val="0"/>
        <w:adjustRightInd w:val="0"/>
        <w:rPr>
          <w:rFonts w:eastAsia="Calibri" w:cs="Arial"/>
          <w:bCs/>
          <w:szCs w:val="22"/>
          <w:lang w:val="en-AU" w:bidi="ar-SA"/>
        </w:rPr>
      </w:pPr>
    </w:p>
    <w:p w14:paraId="54EEF383" w14:textId="77777777" w:rsidR="00E847D8" w:rsidRPr="00653D9D" w:rsidRDefault="00E847D8" w:rsidP="00E847D8">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Following consideration by the </w:t>
      </w:r>
      <w:r w:rsidRPr="00653D9D">
        <w:rPr>
          <w:rFonts w:cs="Helvetica"/>
          <w:lang w:val="en-AU"/>
        </w:rPr>
        <w:t xml:space="preserve">Australia and New Zealand Ministerial Forum on Food </w:t>
      </w:r>
      <w:r w:rsidRPr="00653D9D">
        <w:rPr>
          <w:rFonts w:cs="Arial"/>
        </w:rPr>
        <w:t>Regulation</w:t>
      </w:r>
      <w:r w:rsidRPr="00653D9D">
        <w:rPr>
          <w:rFonts w:eastAsia="Calibri" w:cs="Arial"/>
          <w:bCs/>
          <w:szCs w:val="22"/>
          <w:lang w:val="en-AU" w:bidi="ar-SA"/>
        </w:rPr>
        <w:t xml:space="preserve">, section 92 of the FSANZ Act stipulates that the Authority must publish a notice about the standard or draft variation of a standard. </w:t>
      </w:r>
    </w:p>
    <w:p w14:paraId="6E00C3ED" w14:textId="77777777" w:rsidR="00E847D8" w:rsidRPr="00653D9D" w:rsidRDefault="00E847D8" w:rsidP="00E847D8">
      <w:pPr>
        <w:widowControl/>
        <w:autoSpaceDE w:val="0"/>
        <w:autoSpaceDN w:val="0"/>
        <w:adjustRightInd w:val="0"/>
        <w:rPr>
          <w:rFonts w:eastAsia="Calibri" w:cs="Arial"/>
          <w:bCs/>
          <w:szCs w:val="22"/>
          <w:lang w:val="en-AU" w:bidi="ar-SA"/>
        </w:rPr>
      </w:pPr>
    </w:p>
    <w:p w14:paraId="2E69450C" w14:textId="77777777" w:rsidR="00E847D8" w:rsidRPr="00653D9D" w:rsidRDefault="00E847D8" w:rsidP="00E847D8">
      <w:pPr>
        <w:widowControl/>
        <w:autoSpaceDE w:val="0"/>
        <w:autoSpaceDN w:val="0"/>
        <w:adjustRightInd w:val="0"/>
        <w:rPr>
          <w:rFonts w:eastAsia="Calibri" w:cs="Arial"/>
          <w:szCs w:val="22"/>
          <w:lang w:val="en-AU" w:bidi="ar-SA"/>
        </w:rPr>
      </w:pPr>
      <w:r w:rsidRPr="00653D9D">
        <w:rPr>
          <w:rFonts w:eastAsia="Calibri" w:cs="Arial"/>
          <w:bCs/>
          <w:szCs w:val="22"/>
          <w:lang w:val="en-AU" w:bidi="ar-SA"/>
        </w:rPr>
        <w:t>Section 94 of the FSANZ Act specifies that a</w:t>
      </w:r>
      <w:r w:rsidRPr="00653D9D">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653D9D">
        <w:rPr>
          <w:rFonts w:eastAsia="Calibri" w:cs="Arial"/>
          <w:i/>
          <w:szCs w:val="22"/>
          <w:lang w:val="en-AU" w:bidi="ar-SA"/>
        </w:rPr>
        <w:t>Legislation Act 2003</w:t>
      </w:r>
      <w:r w:rsidRPr="00653D9D">
        <w:rPr>
          <w:rFonts w:eastAsia="Calibri" w:cs="Arial"/>
          <w:szCs w:val="22"/>
          <w:lang w:val="en-AU" w:bidi="ar-SA"/>
        </w:rPr>
        <w:t>.</w:t>
      </w:r>
    </w:p>
    <w:p w14:paraId="6CF3C49B" w14:textId="77777777" w:rsidR="006C4BA4" w:rsidRPr="00117893" w:rsidRDefault="006C4BA4" w:rsidP="006C4BA4">
      <w:pPr>
        <w:widowControl/>
        <w:autoSpaceDE w:val="0"/>
        <w:autoSpaceDN w:val="0"/>
        <w:adjustRightInd w:val="0"/>
        <w:rPr>
          <w:rFonts w:eastAsia="Calibri" w:cs="Arial"/>
          <w:bCs/>
          <w:color w:val="FF0000"/>
          <w:szCs w:val="22"/>
          <w:lang w:val="en-AU" w:bidi="ar-SA"/>
        </w:rPr>
      </w:pPr>
    </w:p>
    <w:p w14:paraId="5ECA649E" w14:textId="77777777" w:rsidR="006C4BA4" w:rsidRPr="00B77E23" w:rsidRDefault="006C4BA4" w:rsidP="006C4BA4">
      <w:pPr>
        <w:rPr>
          <w:b/>
          <w:lang w:val="en-AU" w:eastAsia="en-GB" w:bidi="ar-SA"/>
        </w:rPr>
      </w:pPr>
      <w:r w:rsidRPr="00B77E23">
        <w:rPr>
          <w:b/>
          <w:lang w:val="en-AU" w:eastAsia="en-GB" w:bidi="ar-SA"/>
        </w:rPr>
        <w:t>2.</w:t>
      </w:r>
      <w:r w:rsidRPr="00B77E23">
        <w:rPr>
          <w:b/>
          <w:lang w:val="en-AU" w:eastAsia="en-GB" w:bidi="ar-SA"/>
        </w:rPr>
        <w:tab/>
        <w:t xml:space="preserve">Purpose </w:t>
      </w:r>
    </w:p>
    <w:p w14:paraId="1582FA69" w14:textId="77777777" w:rsidR="006C4BA4" w:rsidRPr="00B77E23" w:rsidRDefault="006C4BA4" w:rsidP="006C4BA4">
      <w:pPr>
        <w:rPr>
          <w:lang w:val="en-AU" w:eastAsia="en-GB" w:bidi="ar-SA"/>
        </w:rPr>
      </w:pPr>
    </w:p>
    <w:p w14:paraId="22910DEC" w14:textId="4A935CE0" w:rsidR="00E847D8" w:rsidRPr="00653D9D" w:rsidRDefault="00E847D8" w:rsidP="00E847D8">
      <w:pPr>
        <w:rPr>
          <w:lang w:val="en-AU" w:eastAsia="en-GB" w:bidi="ar-SA"/>
        </w:rPr>
      </w:pPr>
      <w:r w:rsidRPr="00653D9D">
        <w:rPr>
          <w:lang w:val="en-AU" w:eastAsia="en-GB" w:bidi="ar-SA"/>
        </w:rPr>
        <w:t xml:space="preserve">The Authority has approved the variation because </w:t>
      </w:r>
      <w:r w:rsidRPr="00653D9D">
        <w:t>minor typographical and grammatical errors</w:t>
      </w:r>
      <w:r>
        <w:t xml:space="preserve"> and formatting </w:t>
      </w:r>
      <w:r w:rsidR="00C51D00">
        <w:t xml:space="preserve">and cross referencing </w:t>
      </w:r>
      <w:r>
        <w:t xml:space="preserve">issues </w:t>
      </w:r>
      <w:r w:rsidRPr="00653D9D">
        <w:t xml:space="preserve">are identified in </w:t>
      </w:r>
      <w:r w:rsidR="00C51D00">
        <w:t>the Code from time</w:t>
      </w:r>
      <w:r w:rsidR="00C51D00">
        <w:noBreakHyphen/>
        <w:t>to</w:t>
      </w:r>
      <w:r w:rsidR="00C51D00">
        <w:noBreakHyphen/>
      </w:r>
      <w:r w:rsidRPr="00653D9D">
        <w:t>time. References in the Code also become superseded as the documents they refer to are updated. This Proposal was prepared to resolve such issues.</w:t>
      </w:r>
      <w:r w:rsidRPr="00653D9D">
        <w:rPr>
          <w:lang w:val="en-AU" w:eastAsia="en-GB" w:bidi="ar-SA"/>
        </w:rPr>
        <w:t xml:space="preserve"> </w:t>
      </w:r>
    </w:p>
    <w:p w14:paraId="4B5DCB49" w14:textId="77777777" w:rsidR="006C4BA4" w:rsidRPr="00117893" w:rsidRDefault="006C4BA4" w:rsidP="006C4BA4">
      <w:pPr>
        <w:rPr>
          <w:color w:val="FF0000"/>
        </w:rPr>
      </w:pPr>
    </w:p>
    <w:p w14:paraId="684C8024" w14:textId="77777777" w:rsidR="006C4BA4" w:rsidRPr="00B77E23" w:rsidRDefault="006C4BA4" w:rsidP="006C4BA4">
      <w:pPr>
        <w:rPr>
          <w:b/>
          <w:lang w:val="en-AU" w:eastAsia="en-GB" w:bidi="ar-SA"/>
        </w:rPr>
      </w:pPr>
      <w:r w:rsidRPr="00B77E23">
        <w:rPr>
          <w:b/>
          <w:lang w:val="en-AU" w:eastAsia="en-GB" w:bidi="ar-SA"/>
        </w:rPr>
        <w:t>3.</w:t>
      </w:r>
      <w:r w:rsidRPr="00B77E23">
        <w:rPr>
          <w:b/>
          <w:lang w:val="en-AU" w:eastAsia="en-GB" w:bidi="ar-SA"/>
        </w:rPr>
        <w:tab/>
        <w:t>Documents incorporated by reference</w:t>
      </w:r>
    </w:p>
    <w:p w14:paraId="59DCD000" w14:textId="77777777" w:rsidR="006C4BA4" w:rsidRPr="00117893" w:rsidRDefault="006C4BA4" w:rsidP="006C4BA4">
      <w:pPr>
        <w:rPr>
          <w:color w:val="FF0000"/>
          <w:lang w:val="en-AU" w:eastAsia="en-GB" w:bidi="ar-SA"/>
        </w:rPr>
      </w:pPr>
    </w:p>
    <w:p w14:paraId="6A422CAF" w14:textId="2B31217F" w:rsidR="000E35FB" w:rsidRPr="00653D9D" w:rsidRDefault="00F2160C" w:rsidP="00D56057">
      <w:pPr>
        <w:rPr>
          <w:rFonts w:eastAsia="Calibri" w:cs="Arial"/>
          <w:bCs/>
          <w:szCs w:val="22"/>
          <w:lang w:val="en-AU" w:bidi="ar-SA"/>
        </w:rPr>
      </w:pPr>
      <w:r>
        <w:t>The approved draft variation does not incorporate any documents by reference not already incorporated into the current Code.  It updates the</w:t>
      </w:r>
      <w:r w:rsidR="000E35FB" w:rsidRPr="00653D9D">
        <w:rPr>
          <w:rFonts w:eastAsia="Calibri" w:cs="Arial"/>
          <w:bCs/>
          <w:szCs w:val="22"/>
          <w:lang w:val="en-AU" w:bidi="ar-SA"/>
        </w:rPr>
        <w:t xml:space="preserve"> following existing refe</w:t>
      </w:r>
      <w:r w:rsidR="000E35FB">
        <w:rPr>
          <w:rFonts w:eastAsia="Calibri" w:cs="Arial"/>
          <w:bCs/>
          <w:szCs w:val="22"/>
          <w:lang w:val="en-AU" w:bidi="ar-SA"/>
        </w:rPr>
        <w:t>rence</w:t>
      </w:r>
      <w:r w:rsidR="009D6873">
        <w:rPr>
          <w:rFonts w:eastAsia="Calibri" w:cs="Arial"/>
          <w:bCs/>
          <w:szCs w:val="22"/>
          <w:lang w:val="en-AU" w:bidi="ar-SA"/>
        </w:rPr>
        <w:t>s</w:t>
      </w:r>
      <w:r w:rsidR="000E35FB">
        <w:rPr>
          <w:rFonts w:eastAsia="Calibri" w:cs="Arial"/>
          <w:bCs/>
          <w:szCs w:val="22"/>
          <w:lang w:val="en-AU" w:bidi="ar-SA"/>
        </w:rPr>
        <w:t xml:space="preserve"> </w:t>
      </w:r>
      <w:r>
        <w:rPr>
          <w:rFonts w:eastAsia="Calibri" w:cs="Arial"/>
          <w:bCs/>
          <w:szCs w:val="22"/>
          <w:lang w:val="en-AU" w:bidi="ar-SA"/>
        </w:rPr>
        <w:t xml:space="preserve">in the Code </w:t>
      </w:r>
      <w:r w:rsidR="000E35FB">
        <w:rPr>
          <w:rFonts w:eastAsia="Calibri" w:cs="Arial"/>
          <w:bCs/>
          <w:szCs w:val="22"/>
          <w:lang w:val="en-AU" w:bidi="ar-SA"/>
        </w:rPr>
        <w:t xml:space="preserve">(see </w:t>
      </w:r>
      <w:r w:rsidR="00D55703">
        <w:rPr>
          <w:rFonts w:eastAsia="Calibri" w:cs="Arial"/>
          <w:bCs/>
          <w:szCs w:val="22"/>
          <w:lang w:val="en-AU" w:bidi="ar-SA"/>
        </w:rPr>
        <w:t>sections</w:t>
      </w:r>
      <w:r w:rsidR="000E35FB">
        <w:rPr>
          <w:rFonts w:eastAsia="Calibri" w:cs="Arial"/>
          <w:bCs/>
          <w:szCs w:val="22"/>
          <w:lang w:val="en-AU" w:bidi="ar-SA"/>
        </w:rPr>
        <w:t xml:space="preserve"> </w:t>
      </w:r>
      <w:r w:rsidR="0091794C">
        <w:rPr>
          <w:rFonts w:eastAsia="Calibri" w:cs="Arial"/>
          <w:bCs/>
          <w:szCs w:val="22"/>
          <w:lang w:val="en-AU" w:bidi="ar-SA"/>
        </w:rPr>
        <w:t>6.3</w:t>
      </w:r>
      <w:r w:rsidR="007E4A6A">
        <w:rPr>
          <w:rFonts w:eastAsia="Calibri" w:cs="Arial"/>
          <w:bCs/>
          <w:szCs w:val="22"/>
          <w:lang w:val="en-AU" w:bidi="ar-SA"/>
        </w:rPr>
        <w:t xml:space="preserve"> and 6.4</w:t>
      </w:r>
      <w:r w:rsidR="000E35FB">
        <w:rPr>
          <w:rFonts w:eastAsia="Calibri" w:cs="Arial"/>
          <w:bCs/>
          <w:szCs w:val="22"/>
          <w:lang w:val="en-AU" w:bidi="ar-SA"/>
        </w:rPr>
        <w:t xml:space="preserve"> below</w:t>
      </w:r>
      <w:r w:rsidR="000E35FB" w:rsidRPr="00653D9D">
        <w:rPr>
          <w:rFonts w:eastAsia="Calibri" w:cs="Arial"/>
          <w:bCs/>
          <w:szCs w:val="22"/>
          <w:lang w:val="en-AU" w:bidi="ar-SA"/>
        </w:rPr>
        <w:t>):</w:t>
      </w:r>
    </w:p>
    <w:p w14:paraId="07B918EF" w14:textId="77777777" w:rsidR="000E35FB" w:rsidRPr="00653D9D" w:rsidRDefault="000E35FB" w:rsidP="000E35FB">
      <w:pPr>
        <w:widowControl/>
        <w:tabs>
          <w:tab w:val="left" w:pos="5010"/>
        </w:tabs>
        <w:autoSpaceDE w:val="0"/>
        <w:autoSpaceDN w:val="0"/>
        <w:adjustRightInd w:val="0"/>
        <w:rPr>
          <w:rFonts w:eastAsia="Calibri" w:cs="Arial"/>
          <w:bCs/>
          <w:szCs w:val="22"/>
          <w:lang w:val="en-AU" w:bidi="ar-SA"/>
        </w:rPr>
      </w:pPr>
      <w:r w:rsidRPr="00653D9D">
        <w:rPr>
          <w:rFonts w:eastAsia="Calibri" w:cs="Arial"/>
          <w:bCs/>
          <w:szCs w:val="22"/>
          <w:lang w:val="en-AU" w:bidi="ar-SA"/>
        </w:rPr>
        <w:tab/>
      </w:r>
    </w:p>
    <w:p w14:paraId="0724718F" w14:textId="498DDA43" w:rsidR="006C4BA4" w:rsidRDefault="0091794C" w:rsidP="00D56057">
      <w:pPr>
        <w:pStyle w:val="ListParagraph"/>
        <w:widowControl/>
        <w:numPr>
          <w:ilvl w:val="0"/>
          <w:numId w:val="59"/>
        </w:numPr>
        <w:tabs>
          <w:tab w:val="left" w:pos="5010"/>
        </w:tabs>
        <w:autoSpaceDE w:val="0"/>
        <w:autoSpaceDN w:val="0"/>
        <w:adjustRightInd w:val="0"/>
      </w:pPr>
      <w:r w:rsidRPr="0091794C">
        <w:t>Generally Recognised as Safe (GRAS) lists of flavouring substances published by the Flavour and Extract Manufacturers’ Association of the United State</w:t>
      </w:r>
      <w:r>
        <w:t>s</w:t>
      </w:r>
      <w:r w:rsidR="000229B2">
        <w:t>;</w:t>
      </w:r>
    </w:p>
    <w:p w14:paraId="65111866" w14:textId="77777777" w:rsidR="00B06131" w:rsidRPr="00D56057" w:rsidRDefault="00B06131" w:rsidP="00B06131">
      <w:pPr>
        <w:pStyle w:val="ListParagraph"/>
        <w:widowControl/>
        <w:numPr>
          <w:ilvl w:val="0"/>
          <w:numId w:val="59"/>
        </w:numPr>
        <w:tabs>
          <w:tab w:val="left" w:pos="5010"/>
        </w:tabs>
        <w:autoSpaceDE w:val="0"/>
        <w:autoSpaceDN w:val="0"/>
        <w:adjustRightInd w:val="0"/>
      </w:pPr>
      <w:r w:rsidRPr="003B3B2A">
        <w:rPr>
          <w:rFonts w:cs="Arial"/>
          <w:lang w:bidi="ar-SA"/>
        </w:rPr>
        <w:t>International Organization for Standardization (</w:t>
      </w:r>
      <w:r w:rsidRPr="00D56057">
        <w:rPr>
          <w:rFonts w:cs="Arial"/>
          <w:lang w:bidi="ar-SA"/>
        </w:rPr>
        <w:t>ISO) Standard 16140-2;</w:t>
      </w:r>
    </w:p>
    <w:p w14:paraId="5BE1DE90" w14:textId="4D952352" w:rsidR="00B06131" w:rsidRPr="00D56057" w:rsidRDefault="00B06131" w:rsidP="00B06131">
      <w:pPr>
        <w:pStyle w:val="ListParagraph"/>
        <w:widowControl/>
        <w:numPr>
          <w:ilvl w:val="0"/>
          <w:numId w:val="59"/>
        </w:numPr>
        <w:tabs>
          <w:tab w:val="left" w:pos="5010"/>
        </w:tabs>
        <w:autoSpaceDE w:val="0"/>
        <w:autoSpaceDN w:val="0"/>
        <w:adjustRightInd w:val="0"/>
      </w:pPr>
      <w:r w:rsidRPr="00D56057">
        <w:rPr>
          <w:rFonts w:cs="Arial"/>
          <w:lang w:bidi="ar-SA"/>
        </w:rPr>
        <w:t>A</w:t>
      </w:r>
      <w:r w:rsidRPr="003B3B2A">
        <w:rPr>
          <w:rFonts w:cs="Arial"/>
          <w:lang w:bidi="ar-SA"/>
        </w:rPr>
        <w:t>ustralian Standard 4696</w:t>
      </w:r>
      <w:r w:rsidR="000229B2" w:rsidRPr="003B3B2A">
        <w:rPr>
          <w:rFonts w:cs="Arial"/>
          <w:lang w:bidi="ar-SA"/>
        </w:rPr>
        <w:t>:2002</w:t>
      </w:r>
      <w:r w:rsidRPr="003B3B2A">
        <w:rPr>
          <w:rFonts w:cs="Arial"/>
          <w:lang w:bidi="ar-SA"/>
        </w:rPr>
        <w:t xml:space="preserve"> -- Hygienic Production and Transportation of Meat and Meat Products for Human Consumption; </w:t>
      </w:r>
    </w:p>
    <w:p w14:paraId="5DF2CF42" w14:textId="4651D090" w:rsidR="00B06131" w:rsidRDefault="000229B2" w:rsidP="00D56057">
      <w:pPr>
        <w:pStyle w:val="ListParagraph"/>
        <w:widowControl/>
        <w:numPr>
          <w:ilvl w:val="0"/>
          <w:numId w:val="59"/>
        </w:numPr>
        <w:tabs>
          <w:tab w:val="left" w:pos="5010"/>
        </w:tabs>
        <w:autoSpaceDE w:val="0"/>
        <w:autoSpaceDN w:val="0"/>
        <w:adjustRightInd w:val="0"/>
      </w:pPr>
      <w:r w:rsidRPr="000229B2">
        <w:t>Combined Compendium of Food Additive Specifications, FAO JECFA Monographs 1 (2005), Food and Agriculture Organisation of the United Nations, Rome</w:t>
      </w:r>
      <w:r>
        <w:t>;</w:t>
      </w:r>
    </w:p>
    <w:p w14:paraId="462BEF8F" w14:textId="6109DB15" w:rsidR="000229B2" w:rsidRDefault="000229B2" w:rsidP="00D56057">
      <w:pPr>
        <w:pStyle w:val="ListParagraph"/>
        <w:widowControl/>
        <w:numPr>
          <w:ilvl w:val="0"/>
          <w:numId w:val="59"/>
        </w:numPr>
        <w:tabs>
          <w:tab w:val="left" w:pos="5010"/>
        </w:tabs>
        <w:autoSpaceDE w:val="0"/>
        <w:autoSpaceDN w:val="0"/>
        <w:adjustRightInd w:val="0"/>
      </w:pPr>
      <w:r w:rsidRPr="000229B2">
        <w:t>United States Pharmacopeial Convention (2016) Food chemicals codex. 10th ed, United States Pharmacopeial Convention, Rockville, MD;</w:t>
      </w:r>
      <w:r w:rsidR="003B3B2A">
        <w:t xml:space="preserve"> and</w:t>
      </w:r>
    </w:p>
    <w:p w14:paraId="0FEA0BFF" w14:textId="26BA4330" w:rsidR="000229B2" w:rsidRPr="007E4A6A" w:rsidRDefault="000229B2" w:rsidP="00D56057">
      <w:pPr>
        <w:pStyle w:val="ListParagraph"/>
        <w:widowControl/>
        <w:numPr>
          <w:ilvl w:val="0"/>
          <w:numId w:val="59"/>
        </w:numPr>
        <w:tabs>
          <w:tab w:val="left" w:pos="5010"/>
        </w:tabs>
        <w:autoSpaceDE w:val="0"/>
        <w:autoSpaceDN w:val="0"/>
        <w:adjustRightInd w:val="0"/>
      </w:pPr>
      <w:r w:rsidRPr="000229B2">
        <w:t>International Oenological Codex (2017), Organisation Internationale de la Vigne et du Vin (OIV)</w:t>
      </w:r>
      <w:r>
        <w:t>.</w:t>
      </w:r>
    </w:p>
    <w:p w14:paraId="64002C29" w14:textId="77777777" w:rsidR="00D55703" w:rsidRDefault="00D55703" w:rsidP="006C4BA4">
      <w:pPr>
        <w:tabs>
          <w:tab w:val="left" w:pos="7320"/>
        </w:tabs>
        <w:rPr>
          <w:color w:val="FF0000"/>
          <w:lang w:val="en-AU" w:eastAsia="en-GB" w:bidi="ar-SA"/>
        </w:rPr>
      </w:pPr>
    </w:p>
    <w:p w14:paraId="0B92E922" w14:textId="77777777" w:rsidR="00D55703" w:rsidRDefault="00D55703" w:rsidP="006C4BA4">
      <w:pPr>
        <w:tabs>
          <w:tab w:val="left" w:pos="7320"/>
        </w:tabs>
        <w:rPr>
          <w:color w:val="FF0000"/>
          <w:lang w:val="en-AU" w:eastAsia="en-GB" w:bidi="ar-SA"/>
        </w:rPr>
      </w:pPr>
    </w:p>
    <w:p w14:paraId="1C254176" w14:textId="021F7332" w:rsidR="006C4BA4" w:rsidRPr="00117893" w:rsidRDefault="006C4BA4" w:rsidP="006C4BA4">
      <w:pPr>
        <w:tabs>
          <w:tab w:val="left" w:pos="7320"/>
        </w:tabs>
        <w:rPr>
          <w:color w:val="FF0000"/>
          <w:lang w:val="en-AU" w:eastAsia="en-GB" w:bidi="ar-SA"/>
        </w:rPr>
      </w:pPr>
      <w:r w:rsidRPr="00117893">
        <w:rPr>
          <w:color w:val="FF0000"/>
          <w:lang w:val="en-AU" w:eastAsia="en-GB" w:bidi="ar-SA"/>
        </w:rPr>
        <w:tab/>
      </w:r>
    </w:p>
    <w:p w14:paraId="5C4CFC6B" w14:textId="77777777" w:rsidR="006C4BA4" w:rsidRPr="00B77E23" w:rsidRDefault="006C4BA4" w:rsidP="006C4BA4">
      <w:pPr>
        <w:rPr>
          <w:b/>
          <w:lang w:val="en-AU" w:eastAsia="en-GB" w:bidi="ar-SA"/>
        </w:rPr>
      </w:pPr>
      <w:r w:rsidRPr="00B77E23">
        <w:rPr>
          <w:b/>
          <w:lang w:val="en-AU" w:eastAsia="en-GB" w:bidi="ar-SA"/>
        </w:rPr>
        <w:lastRenderedPageBreak/>
        <w:t>4.</w:t>
      </w:r>
      <w:r w:rsidRPr="00B77E23">
        <w:rPr>
          <w:b/>
          <w:lang w:val="en-AU" w:eastAsia="en-GB" w:bidi="ar-SA"/>
        </w:rPr>
        <w:tab/>
        <w:t>Consultation</w:t>
      </w:r>
    </w:p>
    <w:p w14:paraId="107C89B0" w14:textId="77777777" w:rsidR="006C4BA4" w:rsidRPr="00117893" w:rsidRDefault="006C4BA4" w:rsidP="006C4BA4">
      <w:pPr>
        <w:rPr>
          <w:color w:val="FF0000"/>
          <w:lang w:val="en-AU" w:eastAsia="en-GB" w:bidi="ar-SA"/>
        </w:rPr>
      </w:pPr>
    </w:p>
    <w:p w14:paraId="14BADF3C" w14:textId="2F240D95" w:rsidR="006C4BA4" w:rsidRDefault="006C4BA4" w:rsidP="006C4BA4">
      <w:pPr>
        <w:rPr>
          <w:rFonts w:eastAsia="Calibri" w:cs="Arial"/>
          <w:bCs/>
          <w:szCs w:val="22"/>
          <w:lang w:val="en-AU" w:bidi="ar-SA"/>
        </w:rPr>
      </w:pPr>
      <w:r w:rsidRPr="00B77E23">
        <w:rPr>
          <w:szCs w:val="22"/>
        </w:rPr>
        <w:t xml:space="preserve">In accordance with the procedure in Division 2 of Part 3 of the FSANZ Act, </w:t>
      </w:r>
      <w:r w:rsidRPr="00B77E23">
        <w:rPr>
          <w:rFonts w:eastAsia="Calibri" w:cs="Arial"/>
          <w:bCs/>
          <w:szCs w:val="22"/>
          <w:lang w:val="en-AU" w:bidi="ar-SA"/>
        </w:rPr>
        <w:t>the Authority</w:t>
      </w:r>
      <w:r w:rsidRPr="00B77E23">
        <w:rPr>
          <w:szCs w:val="22"/>
        </w:rPr>
        <w:t xml:space="preserve">’s consideration of Proposal </w:t>
      </w:r>
      <w:r w:rsidRPr="00CC479A">
        <w:rPr>
          <w:rFonts w:eastAsia="Calibri" w:cs="Arial"/>
          <w:bCs/>
          <w:szCs w:val="22"/>
          <w:lang w:val="en-AU" w:bidi="ar-SA"/>
        </w:rPr>
        <w:t>P</w:t>
      </w:r>
      <w:r>
        <w:rPr>
          <w:rFonts w:eastAsia="Calibri" w:cs="Arial"/>
          <w:bCs/>
          <w:szCs w:val="22"/>
          <w:lang w:val="en-AU" w:bidi="ar-SA"/>
        </w:rPr>
        <w:t>1048</w:t>
      </w:r>
      <w:r w:rsidRPr="00B77E23">
        <w:rPr>
          <w:szCs w:val="22"/>
        </w:rPr>
        <w:t xml:space="preserve"> include</w:t>
      </w:r>
      <w:r w:rsidR="00C51D00">
        <w:rPr>
          <w:szCs w:val="22"/>
        </w:rPr>
        <w:t>d</w:t>
      </w:r>
      <w:r w:rsidRPr="00B77E23">
        <w:rPr>
          <w:szCs w:val="22"/>
        </w:rPr>
        <w:t xml:space="preserve"> one round of consultation following an assessment and the preparation of draft variation</w:t>
      </w:r>
      <w:r>
        <w:rPr>
          <w:szCs w:val="22"/>
        </w:rPr>
        <w:t>s to a number of Standards</w:t>
      </w:r>
      <w:r w:rsidRPr="00B77E23">
        <w:rPr>
          <w:szCs w:val="22"/>
        </w:rPr>
        <w:t xml:space="preserve"> and an</w:t>
      </w:r>
      <w:r>
        <w:rPr>
          <w:szCs w:val="22"/>
        </w:rPr>
        <w:t xml:space="preserve"> associated</w:t>
      </w:r>
      <w:r w:rsidRPr="00B77E23">
        <w:rPr>
          <w:szCs w:val="22"/>
        </w:rPr>
        <w:t xml:space="preserve"> assessment summary.</w:t>
      </w:r>
      <w:r w:rsidR="000E35FB">
        <w:rPr>
          <w:szCs w:val="22"/>
        </w:rPr>
        <w:t xml:space="preserve">  </w:t>
      </w:r>
      <w:r w:rsidR="000E35FB" w:rsidRPr="00653D9D">
        <w:rPr>
          <w:szCs w:val="22"/>
        </w:rPr>
        <w:t xml:space="preserve">Submissions were called for on </w:t>
      </w:r>
      <w:r w:rsidR="000E35FB">
        <w:rPr>
          <w:szCs w:val="22"/>
        </w:rPr>
        <w:t>15 May 2018</w:t>
      </w:r>
      <w:r w:rsidR="000E35FB" w:rsidRPr="00653D9D">
        <w:rPr>
          <w:szCs w:val="22"/>
        </w:rPr>
        <w:t xml:space="preserve"> for a four-week consultation period.</w:t>
      </w:r>
    </w:p>
    <w:p w14:paraId="6012C069" w14:textId="77777777" w:rsidR="006C4BA4" w:rsidRDefault="006C4BA4" w:rsidP="006C4BA4">
      <w:pPr>
        <w:rPr>
          <w:rFonts w:eastAsia="Calibri" w:cs="Arial"/>
          <w:bCs/>
          <w:szCs w:val="22"/>
          <w:lang w:val="en-AU" w:bidi="ar-SA"/>
        </w:rPr>
      </w:pPr>
    </w:p>
    <w:p w14:paraId="4A6C5E27" w14:textId="184DB78F" w:rsidR="006C4BA4" w:rsidRPr="000E20E7" w:rsidRDefault="006C4BA4" w:rsidP="006C4BA4">
      <w:pPr>
        <w:widowControl/>
        <w:autoSpaceDE w:val="0"/>
        <w:autoSpaceDN w:val="0"/>
        <w:adjustRightInd w:val="0"/>
        <w:rPr>
          <w:rFonts w:cs="Arial"/>
          <w:szCs w:val="22"/>
        </w:rPr>
      </w:pPr>
      <w:r w:rsidRPr="000E20E7">
        <w:rPr>
          <w:rFonts w:eastAsia="Calibri" w:cs="Arial"/>
          <w:bCs/>
          <w:szCs w:val="22"/>
          <w:lang w:val="en-AU" w:bidi="ar-SA"/>
        </w:rPr>
        <w:t xml:space="preserve">A Regulation Impact Statement was not required because </w:t>
      </w:r>
      <w:r w:rsidR="000E35FB" w:rsidRPr="00653D9D">
        <w:rPr>
          <w:rFonts w:eastAsia="Calibri" w:cs="Arial"/>
          <w:bCs/>
          <w:szCs w:val="22"/>
          <w:lang w:val="en-AU" w:bidi="ar-SA"/>
        </w:rPr>
        <w:t xml:space="preserve">the variation is </w:t>
      </w:r>
      <w:r w:rsidR="000E35FB" w:rsidRPr="00653D9D">
        <w:t xml:space="preserve">likely to have a minor impact on business and individuals. </w:t>
      </w:r>
    </w:p>
    <w:p w14:paraId="3A64C81F" w14:textId="77777777" w:rsidR="006C4BA4" w:rsidRPr="00117893" w:rsidRDefault="006C4BA4" w:rsidP="006C4BA4">
      <w:pPr>
        <w:widowControl/>
        <w:rPr>
          <w:rFonts w:eastAsiaTheme="minorHAnsi" w:cs="Arial"/>
          <w:b/>
          <w:bCs/>
          <w:color w:val="FF0000"/>
          <w:szCs w:val="22"/>
          <w:lang w:val="en-AU" w:bidi="ar-SA"/>
        </w:rPr>
      </w:pPr>
    </w:p>
    <w:p w14:paraId="475E31D1" w14:textId="77777777" w:rsidR="006C4BA4" w:rsidRPr="00B77E23" w:rsidRDefault="006C4BA4" w:rsidP="006C4BA4">
      <w:pPr>
        <w:widowControl/>
        <w:rPr>
          <w:rFonts w:eastAsiaTheme="minorHAnsi" w:cs="Arial"/>
          <w:b/>
          <w:bCs/>
          <w:szCs w:val="22"/>
          <w:lang w:val="en-AU" w:bidi="ar-SA"/>
        </w:rPr>
      </w:pPr>
      <w:r w:rsidRPr="00B77E23">
        <w:rPr>
          <w:rFonts w:eastAsiaTheme="minorHAnsi" w:cs="Arial"/>
          <w:b/>
          <w:bCs/>
          <w:szCs w:val="22"/>
          <w:lang w:val="en-AU" w:bidi="ar-SA"/>
        </w:rPr>
        <w:t>5.</w:t>
      </w:r>
      <w:r w:rsidRPr="00B77E23">
        <w:rPr>
          <w:rFonts w:eastAsiaTheme="minorHAnsi" w:cs="Arial"/>
          <w:b/>
          <w:bCs/>
          <w:szCs w:val="22"/>
          <w:lang w:val="en-AU" w:bidi="ar-SA"/>
        </w:rPr>
        <w:tab/>
        <w:t>Statement of compatibility with human rights</w:t>
      </w:r>
    </w:p>
    <w:p w14:paraId="03A9EFA1" w14:textId="77777777" w:rsidR="006C4BA4" w:rsidRPr="00B77E23" w:rsidRDefault="006C4BA4" w:rsidP="006C4BA4">
      <w:pPr>
        <w:rPr>
          <w:rFonts w:eastAsiaTheme="minorHAnsi"/>
          <w:lang w:val="en-AU" w:bidi="ar-SA"/>
        </w:rPr>
      </w:pPr>
    </w:p>
    <w:p w14:paraId="295A98A8" w14:textId="77777777" w:rsidR="006C4BA4" w:rsidRPr="00B77E23" w:rsidRDefault="006C4BA4" w:rsidP="006C4BA4">
      <w:pPr>
        <w:rPr>
          <w:rFonts w:eastAsiaTheme="minorHAnsi"/>
          <w:lang w:val="en-AU" w:bidi="ar-SA"/>
        </w:rPr>
      </w:pPr>
      <w:r w:rsidRPr="00B77E23">
        <w:rPr>
          <w:rFonts w:eastAsiaTheme="minorHAnsi"/>
          <w:lang w:val="en-AU" w:bidi="ar-SA"/>
        </w:rPr>
        <w:t>This instrument is exempt from the requirements for a statement of compatibility with human rights as it is a non-disallowable instrument under section 94 of the FSANZ Act.</w:t>
      </w:r>
    </w:p>
    <w:p w14:paraId="139F1C1B" w14:textId="77777777" w:rsidR="006C4BA4" w:rsidRPr="00117893" w:rsidRDefault="006C4BA4" w:rsidP="006C4BA4">
      <w:pPr>
        <w:rPr>
          <w:rFonts w:eastAsiaTheme="minorHAnsi"/>
          <w:color w:val="FF0000"/>
          <w:lang w:val="en-AU" w:bidi="ar-SA"/>
        </w:rPr>
      </w:pPr>
    </w:p>
    <w:p w14:paraId="5A05FEB1" w14:textId="77777777" w:rsidR="006C4BA4" w:rsidRPr="00B77E23" w:rsidRDefault="006C4BA4" w:rsidP="006C4BA4">
      <w:pPr>
        <w:rPr>
          <w:b/>
          <w:lang w:val="en-AU" w:eastAsia="en-GB" w:bidi="ar-SA"/>
        </w:rPr>
      </w:pPr>
      <w:r w:rsidRPr="00B77E23">
        <w:rPr>
          <w:b/>
        </w:rPr>
        <w:t>6.</w:t>
      </w:r>
      <w:r w:rsidRPr="00B77E23">
        <w:rPr>
          <w:b/>
        </w:rPr>
        <w:tab/>
      </w:r>
      <w:r w:rsidRPr="00B77E23">
        <w:rPr>
          <w:b/>
          <w:lang w:val="en-AU" w:eastAsia="en-GB" w:bidi="ar-SA"/>
        </w:rPr>
        <w:t>Variations</w:t>
      </w:r>
    </w:p>
    <w:p w14:paraId="33089FB2" w14:textId="77777777" w:rsidR="006C4BA4" w:rsidRPr="00B77E23" w:rsidRDefault="006C4BA4" w:rsidP="006C4BA4">
      <w:pPr>
        <w:rPr>
          <w:b/>
        </w:rPr>
      </w:pPr>
    </w:p>
    <w:p w14:paraId="6CE34FDF" w14:textId="77777777" w:rsidR="006C4BA4" w:rsidRPr="00401DCA" w:rsidRDefault="006C4BA4" w:rsidP="006C4BA4">
      <w:pPr>
        <w:rPr>
          <w:b/>
        </w:rPr>
      </w:pPr>
      <w:r w:rsidRPr="00401DCA">
        <w:rPr>
          <w:b/>
          <w:i/>
        </w:rPr>
        <w:t>6.1</w:t>
      </w:r>
      <w:r w:rsidRPr="00401DCA">
        <w:rPr>
          <w:b/>
          <w:i/>
        </w:rPr>
        <w:tab/>
      </w:r>
      <w:r w:rsidRPr="00401DCA">
        <w:rPr>
          <w:b/>
          <w:i/>
          <w:szCs w:val="22"/>
        </w:rPr>
        <w:t>Correcting minor errors and omissions</w:t>
      </w:r>
    </w:p>
    <w:p w14:paraId="677C008A" w14:textId="77777777" w:rsidR="006C4BA4" w:rsidRPr="00401DCA" w:rsidRDefault="006C4BA4" w:rsidP="006C4BA4">
      <w:pPr>
        <w:rPr>
          <w:color w:val="FF0000"/>
        </w:rPr>
      </w:pPr>
    </w:p>
    <w:p w14:paraId="1B2DA8F1" w14:textId="7FA340D3" w:rsidR="006C4BA4" w:rsidRPr="007E11FA" w:rsidRDefault="006C4BA4" w:rsidP="006C4BA4">
      <w:r w:rsidRPr="007E11FA">
        <w:t xml:space="preserve">Items </w:t>
      </w:r>
      <w:r w:rsidR="003B3B2A" w:rsidRPr="007E11FA">
        <w:t>[</w:t>
      </w:r>
      <w:r w:rsidR="003B3B2A" w:rsidRPr="0054664B">
        <w:t>1]</w:t>
      </w:r>
      <w:r w:rsidR="003B3B2A">
        <w:t>,</w:t>
      </w:r>
      <w:r w:rsidR="003B3B2A" w:rsidRPr="0054664B">
        <w:t xml:space="preserve"> [3] to [</w:t>
      </w:r>
      <w:r w:rsidR="003B3B2A">
        <w:t>7</w:t>
      </w:r>
      <w:r w:rsidR="003B3B2A" w:rsidRPr="0054664B">
        <w:t>]</w:t>
      </w:r>
      <w:r w:rsidR="003B3B2A">
        <w:t>, [11], [19] to [23</w:t>
      </w:r>
      <w:r w:rsidR="003B3B2A" w:rsidRPr="0054664B">
        <w:t>]</w:t>
      </w:r>
      <w:r w:rsidR="003B3B2A">
        <w:t>,</w:t>
      </w:r>
      <w:r w:rsidR="00BF178F">
        <w:t xml:space="preserve"> [23A],</w:t>
      </w:r>
      <w:r w:rsidR="003B3B2A">
        <w:t xml:space="preserve"> [26</w:t>
      </w:r>
      <w:r w:rsidR="003B3B2A" w:rsidRPr="0054664B">
        <w:t>]</w:t>
      </w:r>
      <w:r w:rsidR="003B3B2A">
        <w:t xml:space="preserve"> and [27] </w:t>
      </w:r>
      <w:r w:rsidRPr="007E11FA">
        <w:t xml:space="preserve">of the </w:t>
      </w:r>
      <w:r w:rsidR="00D55703">
        <w:t xml:space="preserve">Schedule to the </w:t>
      </w:r>
      <w:r w:rsidR="00C51D00">
        <w:t xml:space="preserve">approved </w:t>
      </w:r>
      <w:r w:rsidRPr="007E11FA">
        <w:t xml:space="preserve">draft variation include amendments to correct </w:t>
      </w:r>
      <w:r w:rsidRPr="00435914">
        <w:t>minor errors and omi</w:t>
      </w:r>
      <w:r>
        <w:t xml:space="preserve">ssions to format, text and punctuation, </w:t>
      </w:r>
      <w:r w:rsidRPr="00435914">
        <w:t xml:space="preserve">as well </w:t>
      </w:r>
      <w:r>
        <w:t xml:space="preserve">to </w:t>
      </w:r>
      <w:r w:rsidRPr="00435914">
        <w:t>improv</w:t>
      </w:r>
      <w:r>
        <w:t xml:space="preserve">e the </w:t>
      </w:r>
      <w:r w:rsidRPr="00435914">
        <w:t>clarity of some text</w:t>
      </w:r>
      <w:r w:rsidRPr="007E11FA">
        <w:t xml:space="preserve">. </w:t>
      </w:r>
    </w:p>
    <w:p w14:paraId="41B6F43A" w14:textId="77777777" w:rsidR="006C4BA4" w:rsidRPr="007E11FA" w:rsidRDefault="006C4BA4" w:rsidP="006C4BA4"/>
    <w:p w14:paraId="22C42446" w14:textId="77777777" w:rsidR="006C4BA4" w:rsidRPr="007E11FA" w:rsidRDefault="006C4BA4" w:rsidP="006C4BA4">
      <w:pPr>
        <w:rPr>
          <w:b/>
          <w:i/>
          <w:szCs w:val="22"/>
        </w:rPr>
      </w:pPr>
      <w:r w:rsidRPr="007E11FA">
        <w:rPr>
          <w:b/>
          <w:i/>
          <w:szCs w:val="22"/>
        </w:rPr>
        <w:t>6.2</w:t>
      </w:r>
      <w:r w:rsidRPr="007E11FA">
        <w:rPr>
          <w:b/>
          <w:i/>
          <w:szCs w:val="22"/>
        </w:rPr>
        <w:tab/>
        <w:t>Updating references</w:t>
      </w:r>
    </w:p>
    <w:p w14:paraId="59B044AE" w14:textId="77777777" w:rsidR="006C4BA4" w:rsidRPr="007E11FA" w:rsidRDefault="006C4BA4" w:rsidP="006C4BA4"/>
    <w:p w14:paraId="5A47AA57" w14:textId="5ED12D50" w:rsidR="006C4BA4" w:rsidRDefault="006C4BA4" w:rsidP="006C4BA4">
      <w:r w:rsidRPr="007E11FA">
        <w:t xml:space="preserve">Items </w:t>
      </w:r>
      <w:r w:rsidR="003B3B2A">
        <w:rPr>
          <w:lang w:val="en-AU" w:eastAsia="en-GB" w:bidi="ar-SA"/>
        </w:rPr>
        <w:t>[12] to [15], [24] and [25</w:t>
      </w:r>
      <w:r w:rsidR="003B3B2A" w:rsidRPr="0054664B">
        <w:rPr>
          <w:lang w:val="en-AU" w:eastAsia="en-GB" w:bidi="ar-SA"/>
        </w:rPr>
        <w:t xml:space="preserve">] </w:t>
      </w:r>
      <w:r w:rsidR="00D55703" w:rsidRPr="007E11FA">
        <w:t xml:space="preserve">of the </w:t>
      </w:r>
      <w:r w:rsidR="00D55703">
        <w:t>Schedule to</w:t>
      </w:r>
      <w:r w:rsidRPr="007E11FA">
        <w:t xml:space="preserve"> the </w:t>
      </w:r>
      <w:r w:rsidR="00C51D00">
        <w:t xml:space="preserve">approved </w:t>
      </w:r>
      <w:r w:rsidRPr="007E11FA">
        <w:t>draft variation include amendments to correct cross</w:t>
      </w:r>
      <w:r>
        <w:t xml:space="preserve"> </w:t>
      </w:r>
      <w:r w:rsidRPr="00401DCA">
        <w:t>references.</w:t>
      </w:r>
    </w:p>
    <w:p w14:paraId="774D7640" w14:textId="7641D38F" w:rsidR="000E35FB" w:rsidRDefault="000E35FB" w:rsidP="006C4BA4"/>
    <w:p w14:paraId="50799F1A" w14:textId="7AEE0735" w:rsidR="007E4A6A" w:rsidRPr="00653D9D" w:rsidRDefault="007E4A6A" w:rsidP="007E4A6A">
      <w:pPr>
        <w:rPr>
          <w:b/>
          <w:i/>
          <w:szCs w:val="22"/>
        </w:rPr>
      </w:pPr>
      <w:r w:rsidRPr="00653D9D">
        <w:rPr>
          <w:b/>
          <w:i/>
          <w:szCs w:val="22"/>
        </w:rPr>
        <w:t>6.</w:t>
      </w:r>
      <w:r>
        <w:rPr>
          <w:b/>
          <w:i/>
          <w:szCs w:val="22"/>
        </w:rPr>
        <w:t>3</w:t>
      </w:r>
      <w:r w:rsidRPr="00653D9D">
        <w:rPr>
          <w:b/>
          <w:i/>
          <w:szCs w:val="22"/>
        </w:rPr>
        <w:tab/>
        <w:t>Updating mat</w:t>
      </w:r>
      <w:r>
        <w:rPr>
          <w:b/>
          <w:i/>
          <w:szCs w:val="22"/>
        </w:rPr>
        <w:t>erial from Australian Standards</w:t>
      </w:r>
    </w:p>
    <w:p w14:paraId="64D982F5" w14:textId="77777777" w:rsidR="007E4A6A" w:rsidRPr="00653D9D" w:rsidRDefault="007E4A6A" w:rsidP="007E4A6A"/>
    <w:p w14:paraId="10BBC40C" w14:textId="18979DD0" w:rsidR="007E4A6A" w:rsidRDefault="007E4A6A" w:rsidP="007E4A6A">
      <w:pPr>
        <w:rPr>
          <w:b/>
          <w:i/>
          <w:szCs w:val="22"/>
        </w:rPr>
      </w:pPr>
      <w:r>
        <w:t>Items [9] and [10</w:t>
      </w:r>
      <w:r w:rsidR="00785C77">
        <w:t>A</w:t>
      </w:r>
      <w:r>
        <w:t>]</w:t>
      </w:r>
      <w:r w:rsidRPr="00653D9D">
        <w:rPr>
          <w:lang w:val="en-AU" w:eastAsia="en-GB" w:bidi="ar-SA"/>
        </w:rPr>
        <w:t xml:space="preserve"> </w:t>
      </w:r>
      <w:r w:rsidR="00D55703" w:rsidRPr="007E11FA">
        <w:t xml:space="preserve">of the </w:t>
      </w:r>
      <w:r w:rsidR="00D55703">
        <w:t>Schedule update references to an Australian Standard.</w:t>
      </w:r>
    </w:p>
    <w:p w14:paraId="5B74E6CC" w14:textId="77777777" w:rsidR="007E4A6A" w:rsidRDefault="007E4A6A" w:rsidP="007E4A6A">
      <w:pPr>
        <w:rPr>
          <w:b/>
          <w:i/>
          <w:szCs w:val="22"/>
        </w:rPr>
      </w:pPr>
    </w:p>
    <w:p w14:paraId="3B665DF0" w14:textId="61FB126E" w:rsidR="00CF4DB2" w:rsidRPr="00653D9D" w:rsidRDefault="00CF4DB2" w:rsidP="007E4A6A">
      <w:pPr>
        <w:rPr>
          <w:b/>
          <w:i/>
          <w:szCs w:val="22"/>
        </w:rPr>
      </w:pPr>
      <w:r w:rsidRPr="00653D9D">
        <w:rPr>
          <w:b/>
          <w:i/>
          <w:szCs w:val="22"/>
        </w:rPr>
        <w:t>6.</w:t>
      </w:r>
      <w:r w:rsidR="007E4A6A">
        <w:rPr>
          <w:b/>
          <w:i/>
          <w:szCs w:val="22"/>
        </w:rPr>
        <w:t>4</w:t>
      </w:r>
      <w:r w:rsidRPr="00653D9D">
        <w:rPr>
          <w:b/>
          <w:i/>
          <w:szCs w:val="22"/>
        </w:rPr>
        <w:tab/>
        <w:t>Updating material from international sources</w:t>
      </w:r>
    </w:p>
    <w:p w14:paraId="612E92C2" w14:textId="77777777" w:rsidR="00CF4DB2" w:rsidRPr="00653D9D" w:rsidRDefault="00CF4DB2" w:rsidP="00CF4DB2"/>
    <w:p w14:paraId="52C0FCC2" w14:textId="01EF74A1" w:rsidR="00CF4DB2" w:rsidRPr="00653D9D" w:rsidRDefault="00CF4DB2" w:rsidP="00CF4DB2">
      <w:r>
        <w:t>Item</w:t>
      </w:r>
      <w:r w:rsidR="007E4A6A">
        <w:t>s</w:t>
      </w:r>
      <w:r w:rsidRPr="00653D9D">
        <w:t xml:space="preserve"> [</w:t>
      </w:r>
      <w:r>
        <w:t>2</w:t>
      </w:r>
      <w:r w:rsidRPr="00653D9D">
        <w:t>]</w:t>
      </w:r>
      <w:r w:rsidR="00B12CC8">
        <w:t xml:space="preserve">, </w:t>
      </w:r>
      <w:r w:rsidR="007E4A6A">
        <w:t>[8]</w:t>
      </w:r>
      <w:r w:rsidR="003B3B2A">
        <w:t xml:space="preserve"> and [16] to [18</w:t>
      </w:r>
      <w:r w:rsidR="00B12CC8">
        <w:t>]</w:t>
      </w:r>
      <w:r w:rsidRPr="00653D9D">
        <w:rPr>
          <w:lang w:val="en-AU" w:eastAsia="en-GB" w:bidi="ar-SA"/>
        </w:rPr>
        <w:t xml:space="preserve"> </w:t>
      </w:r>
      <w:r w:rsidR="00D55703" w:rsidRPr="007E11FA">
        <w:t xml:space="preserve">of the </w:t>
      </w:r>
      <w:r w:rsidR="00D55703">
        <w:t xml:space="preserve">Schedule update references </w:t>
      </w:r>
      <w:r w:rsidRPr="00653D9D">
        <w:t xml:space="preserve">to </w:t>
      </w:r>
      <w:r w:rsidR="00D55703">
        <w:t>international publications</w:t>
      </w:r>
      <w:r w:rsidRPr="00653D9D">
        <w:t xml:space="preserve">. </w:t>
      </w:r>
    </w:p>
    <w:p w14:paraId="1D18885B" w14:textId="77777777" w:rsidR="000E35FB" w:rsidRDefault="000E35FB">
      <w:pPr>
        <w:widowControl/>
      </w:pPr>
      <w:r>
        <w:br w:type="page"/>
      </w:r>
    </w:p>
    <w:p w14:paraId="6479B43B" w14:textId="580E812A" w:rsidR="002D2FC9" w:rsidRPr="00B542C5" w:rsidRDefault="00653D9D" w:rsidP="00BE2B4B">
      <w:pPr>
        <w:pStyle w:val="Heading2"/>
        <w:ind w:left="0" w:firstLine="0"/>
      </w:pPr>
      <w:r w:rsidRPr="00B542C5">
        <w:lastRenderedPageBreak/>
        <w:t xml:space="preserve">Attachment C – Draft variation to the </w:t>
      </w:r>
      <w:r w:rsidRPr="00B542C5">
        <w:rPr>
          <w:i/>
        </w:rPr>
        <w:t xml:space="preserve">Australia New Zealand Food Standards Code </w:t>
      </w:r>
      <w:r w:rsidRPr="00B542C5">
        <w:t>(call for submissions)</w:t>
      </w:r>
      <w:bookmarkStart w:id="119" w:name="_Toc471478813"/>
      <w:bookmarkStart w:id="120" w:name="_Toc471478950"/>
      <w:bookmarkStart w:id="121" w:name="_Ref352846837"/>
      <w:bookmarkStart w:id="122" w:name="_Toc465771725"/>
      <w:bookmarkStart w:id="123" w:name="_Toc11735637"/>
      <w:bookmarkStart w:id="124" w:name="_Toc29883122"/>
      <w:bookmarkStart w:id="125" w:name="_Toc41906809"/>
      <w:bookmarkStart w:id="126" w:name="_Toc41907556"/>
      <w:bookmarkStart w:id="127" w:name="_Toc120358587"/>
      <w:bookmarkStart w:id="128" w:name="_Toc175381446"/>
      <w:bookmarkStart w:id="129" w:name="_Toc175381454"/>
      <w:bookmarkEnd w:id="114"/>
      <w:bookmarkEnd w:id="115"/>
      <w:bookmarkEnd w:id="119"/>
      <w:bookmarkEnd w:id="120"/>
      <w:bookmarkEnd w:id="121"/>
      <w:bookmarkEnd w:id="122"/>
    </w:p>
    <w:bookmarkEnd w:id="123"/>
    <w:bookmarkEnd w:id="124"/>
    <w:bookmarkEnd w:id="125"/>
    <w:bookmarkEnd w:id="126"/>
    <w:bookmarkEnd w:id="127"/>
    <w:bookmarkEnd w:id="128"/>
    <w:bookmarkEnd w:id="129"/>
    <w:p w14:paraId="23E07306" w14:textId="77777777" w:rsidR="00653D9D" w:rsidRPr="00B542C5" w:rsidRDefault="00653D9D" w:rsidP="00653D9D">
      <w:pPr>
        <w:tabs>
          <w:tab w:val="left" w:pos="851"/>
        </w:tabs>
        <w:rPr>
          <w:noProof/>
          <w:color w:val="FF0000"/>
          <w:sz w:val="20"/>
          <w:szCs w:val="20"/>
          <w:lang w:eastAsia="en-AU" w:bidi="ar-SA"/>
        </w:rPr>
      </w:pPr>
      <w:r w:rsidRPr="00B542C5">
        <w:rPr>
          <w:noProof/>
          <w:color w:val="FF0000"/>
          <w:sz w:val="20"/>
          <w:szCs w:val="20"/>
          <w:lang w:eastAsia="en-GB" w:bidi="ar-SA"/>
        </w:rPr>
        <w:drawing>
          <wp:inline distT="0" distB="0" distL="0" distR="0" wp14:anchorId="7B0BEE5F" wp14:editId="13C499F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4A96812" w14:textId="77777777" w:rsidR="00653D9D" w:rsidRPr="00B542C5" w:rsidRDefault="00653D9D" w:rsidP="00653D9D">
      <w:pPr>
        <w:pBdr>
          <w:bottom w:val="single" w:sz="4" w:space="1" w:color="auto"/>
        </w:pBdr>
        <w:tabs>
          <w:tab w:val="left" w:pos="851"/>
        </w:tabs>
        <w:jc w:val="center"/>
        <w:rPr>
          <w:sz w:val="20"/>
          <w:szCs w:val="20"/>
          <w:lang w:bidi="ar-SA"/>
        </w:rPr>
      </w:pPr>
    </w:p>
    <w:p w14:paraId="4B65C2C8" w14:textId="77777777" w:rsidR="006C4BA4" w:rsidRPr="00304930" w:rsidRDefault="006C4BA4" w:rsidP="006C4BA4">
      <w:pPr>
        <w:pBdr>
          <w:bottom w:val="single" w:sz="4" w:space="1" w:color="auto"/>
        </w:pBdr>
        <w:tabs>
          <w:tab w:val="left" w:pos="851"/>
        </w:tabs>
        <w:rPr>
          <w:b/>
          <w:sz w:val="20"/>
          <w:szCs w:val="20"/>
          <w:lang w:bidi="ar-SA"/>
        </w:rPr>
      </w:pPr>
      <w:bookmarkStart w:id="130" w:name="_Ref330223170"/>
      <w:bookmarkStart w:id="131" w:name="_Ref331335621"/>
      <w:r w:rsidRPr="00304930">
        <w:rPr>
          <w:b/>
          <w:sz w:val="20"/>
          <w:szCs w:val="20"/>
          <w:lang w:bidi="ar-SA"/>
        </w:rPr>
        <w:t xml:space="preserve">Food Standards </w:t>
      </w:r>
      <w:r>
        <w:rPr>
          <w:b/>
          <w:sz w:val="20"/>
          <w:szCs w:val="20"/>
          <w:lang w:bidi="ar-SA"/>
        </w:rPr>
        <w:t>(Proposal P1048</w:t>
      </w:r>
      <w:r w:rsidRPr="00304930">
        <w:rPr>
          <w:b/>
          <w:sz w:val="20"/>
          <w:szCs w:val="20"/>
          <w:lang w:bidi="ar-SA"/>
        </w:rPr>
        <w:t xml:space="preserve"> – Code Revision </w:t>
      </w:r>
      <w:r>
        <w:rPr>
          <w:b/>
          <w:sz w:val="20"/>
          <w:szCs w:val="20"/>
          <w:lang w:bidi="ar-SA"/>
        </w:rPr>
        <w:t>(2018)</w:t>
      </w:r>
      <w:r w:rsidRPr="00304930">
        <w:rPr>
          <w:b/>
          <w:sz w:val="20"/>
          <w:szCs w:val="20"/>
          <w:lang w:bidi="ar-SA"/>
        </w:rPr>
        <w:t>) Variation</w:t>
      </w:r>
    </w:p>
    <w:p w14:paraId="19EE3DBD" w14:textId="77777777" w:rsidR="006C4BA4" w:rsidRPr="00B542C5" w:rsidRDefault="006C4BA4" w:rsidP="006C4BA4">
      <w:pPr>
        <w:pBdr>
          <w:bottom w:val="single" w:sz="4" w:space="1" w:color="auto"/>
        </w:pBdr>
        <w:tabs>
          <w:tab w:val="left" w:pos="851"/>
        </w:tabs>
        <w:rPr>
          <w:b/>
          <w:color w:val="FF0000"/>
          <w:sz w:val="20"/>
          <w:szCs w:val="20"/>
          <w:lang w:bidi="ar-SA"/>
        </w:rPr>
      </w:pPr>
    </w:p>
    <w:p w14:paraId="63C32F49" w14:textId="77777777" w:rsidR="006C4BA4" w:rsidRPr="00B542C5" w:rsidRDefault="006C4BA4" w:rsidP="006C4BA4">
      <w:pPr>
        <w:tabs>
          <w:tab w:val="left" w:pos="851"/>
        </w:tabs>
        <w:rPr>
          <w:color w:val="FF0000"/>
          <w:sz w:val="20"/>
          <w:szCs w:val="20"/>
          <w:lang w:bidi="ar-SA"/>
        </w:rPr>
      </w:pPr>
    </w:p>
    <w:p w14:paraId="51F9E321" w14:textId="77777777" w:rsidR="006C4BA4" w:rsidRPr="00B542C5" w:rsidRDefault="006C4BA4" w:rsidP="006C4BA4">
      <w:pPr>
        <w:tabs>
          <w:tab w:val="left" w:pos="851"/>
        </w:tabs>
        <w:rPr>
          <w:sz w:val="20"/>
          <w:szCs w:val="20"/>
          <w:lang w:bidi="ar-SA"/>
        </w:rPr>
      </w:pPr>
      <w:r w:rsidRPr="00B542C5">
        <w:rPr>
          <w:sz w:val="20"/>
          <w:szCs w:val="20"/>
          <w:lang w:bidi="ar-SA"/>
        </w:rPr>
        <w:t xml:space="preserve">The Board of Food Standards Australia New Zealand gives notice of the making of this variation under section 92 of the </w:t>
      </w:r>
      <w:r w:rsidRPr="00B542C5">
        <w:rPr>
          <w:i/>
          <w:sz w:val="20"/>
          <w:szCs w:val="20"/>
          <w:lang w:bidi="ar-SA"/>
        </w:rPr>
        <w:t>Food Standards Australia New Zealand Act 1991</w:t>
      </w:r>
      <w:r w:rsidRPr="00B542C5">
        <w:rPr>
          <w:sz w:val="20"/>
          <w:szCs w:val="20"/>
          <w:lang w:bidi="ar-SA"/>
        </w:rPr>
        <w:t>.  The Standard commences on the date specified in clause 3 of this variation.</w:t>
      </w:r>
    </w:p>
    <w:p w14:paraId="7A8B3A22" w14:textId="77777777" w:rsidR="006C4BA4" w:rsidRPr="00B542C5" w:rsidRDefault="006C4BA4" w:rsidP="006C4BA4">
      <w:pPr>
        <w:tabs>
          <w:tab w:val="left" w:pos="851"/>
        </w:tabs>
        <w:rPr>
          <w:sz w:val="20"/>
          <w:szCs w:val="20"/>
          <w:lang w:bidi="ar-SA"/>
        </w:rPr>
      </w:pPr>
    </w:p>
    <w:p w14:paraId="4A421FB0" w14:textId="77777777" w:rsidR="006C4BA4" w:rsidRPr="00B542C5" w:rsidRDefault="006C4BA4" w:rsidP="006C4BA4">
      <w:pPr>
        <w:tabs>
          <w:tab w:val="left" w:pos="851"/>
        </w:tabs>
        <w:rPr>
          <w:sz w:val="20"/>
          <w:szCs w:val="20"/>
          <w:lang w:bidi="ar-SA"/>
        </w:rPr>
      </w:pPr>
      <w:r w:rsidRPr="00B542C5">
        <w:rPr>
          <w:sz w:val="20"/>
          <w:szCs w:val="20"/>
          <w:lang w:bidi="ar-SA"/>
        </w:rPr>
        <w:t xml:space="preserve">Dated </w:t>
      </w:r>
      <w:r w:rsidRPr="00B813BC">
        <w:rPr>
          <w:sz w:val="20"/>
          <w:szCs w:val="20"/>
          <w:lang w:bidi="ar-SA"/>
        </w:rPr>
        <w:t>[To be completed by the Delegate]</w:t>
      </w:r>
    </w:p>
    <w:p w14:paraId="65C68E28" w14:textId="77777777" w:rsidR="006C4BA4" w:rsidRPr="00B542C5" w:rsidRDefault="006C4BA4" w:rsidP="006C4BA4">
      <w:pPr>
        <w:tabs>
          <w:tab w:val="left" w:pos="851"/>
        </w:tabs>
        <w:rPr>
          <w:sz w:val="20"/>
          <w:szCs w:val="20"/>
          <w:lang w:bidi="ar-SA"/>
        </w:rPr>
      </w:pPr>
    </w:p>
    <w:p w14:paraId="0D4891F7" w14:textId="77777777" w:rsidR="006C4BA4" w:rsidRPr="00B542C5" w:rsidRDefault="006C4BA4" w:rsidP="006C4BA4">
      <w:pPr>
        <w:tabs>
          <w:tab w:val="left" w:pos="851"/>
        </w:tabs>
        <w:rPr>
          <w:sz w:val="20"/>
          <w:szCs w:val="20"/>
          <w:lang w:bidi="ar-SA"/>
        </w:rPr>
      </w:pPr>
    </w:p>
    <w:p w14:paraId="341466C1" w14:textId="77777777" w:rsidR="006C4BA4" w:rsidRPr="00B542C5" w:rsidRDefault="006C4BA4" w:rsidP="006C4BA4">
      <w:pPr>
        <w:tabs>
          <w:tab w:val="left" w:pos="851"/>
        </w:tabs>
        <w:rPr>
          <w:sz w:val="20"/>
          <w:szCs w:val="20"/>
          <w:lang w:bidi="ar-SA"/>
        </w:rPr>
      </w:pPr>
    </w:p>
    <w:p w14:paraId="0DB6D288" w14:textId="77777777" w:rsidR="006C4BA4" w:rsidRPr="00B542C5" w:rsidRDefault="006C4BA4" w:rsidP="006C4BA4">
      <w:pPr>
        <w:tabs>
          <w:tab w:val="left" w:pos="851"/>
        </w:tabs>
        <w:rPr>
          <w:sz w:val="20"/>
          <w:szCs w:val="20"/>
          <w:lang w:bidi="ar-SA"/>
        </w:rPr>
      </w:pPr>
    </w:p>
    <w:p w14:paraId="39B76BC5" w14:textId="77777777" w:rsidR="006C4BA4" w:rsidRPr="00B542C5" w:rsidRDefault="006C4BA4" w:rsidP="006C4BA4">
      <w:pPr>
        <w:tabs>
          <w:tab w:val="left" w:pos="851"/>
        </w:tabs>
        <w:rPr>
          <w:sz w:val="20"/>
          <w:szCs w:val="20"/>
          <w:lang w:bidi="ar-SA"/>
        </w:rPr>
      </w:pPr>
    </w:p>
    <w:p w14:paraId="4CAE3F87" w14:textId="77777777" w:rsidR="006C4BA4" w:rsidRPr="00B542C5" w:rsidRDefault="006C4BA4" w:rsidP="006C4BA4">
      <w:pPr>
        <w:tabs>
          <w:tab w:val="left" w:pos="851"/>
        </w:tabs>
        <w:rPr>
          <w:sz w:val="20"/>
          <w:szCs w:val="20"/>
          <w:lang w:bidi="ar-SA"/>
        </w:rPr>
      </w:pPr>
      <w:r w:rsidRPr="00B813BC">
        <w:rPr>
          <w:sz w:val="20"/>
          <w:szCs w:val="20"/>
          <w:lang w:bidi="ar-SA"/>
        </w:rPr>
        <w:t>Insert name of Delegate</w:t>
      </w:r>
    </w:p>
    <w:p w14:paraId="53C80B83" w14:textId="77777777" w:rsidR="006C4BA4" w:rsidRPr="00B542C5" w:rsidRDefault="006C4BA4" w:rsidP="006C4BA4">
      <w:pPr>
        <w:tabs>
          <w:tab w:val="left" w:pos="851"/>
        </w:tabs>
        <w:rPr>
          <w:sz w:val="20"/>
          <w:szCs w:val="20"/>
          <w:lang w:bidi="ar-SA"/>
        </w:rPr>
      </w:pPr>
      <w:r w:rsidRPr="00B542C5">
        <w:rPr>
          <w:sz w:val="20"/>
          <w:szCs w:val="20"/>
          <w:lang w:bidi="ar-SA"/>
        </w:rPr>
        <w:t>Delegate of the Board of Food Standards Australia New Zealand</w:t>
      </w:r>
    </w:p>
    <w:p w14:paraId="3C6E88E4" w14:textId="77777777" w:rsidR="006C4BA4" w:rsidRPr="00B542C5" w:rsidRDefault="006C4BA4" w:rsidP="006C4BA4">
      <w:pPr>
        <w:tabs>
          <w:tab w:val="left" w:pos="851"/>
        </w:tabs>
        <w:rPr>
          <w:sz w:val="20"/>
          <w:szCs w:val="20"/>
          <w:lang w:bidi="ar-SA"/>
        </w:rPr>
      </w:pPr>
    </w:p>
    <w:p w14:paraId="778666AB" w14:textId="77777777" w:rsidR="006C4BA4" w:rsidRPr="00B542C5" w:rsidRDefault="006C4BA4" w:rsidP="006C4BA4">
      <w:pPr>
        <w:tabs>
          <w:tab w:val="left" w:pos="851"/>
        </w:tabs>
        <w:rPr>
          <w:sz w:val="20"/>
          <w:szCs w:val="20"/>
          <w:lang w:bidi="ar-SA"/>
        </w:rPr>
      </w:pPr>
    </w:p>
    <w:p w14:paraId="7A1DB823" w14:textId="77777777" w:rsidR="006C4BA4" w:rsidRPr="00B542C5" w:rsidRDefault="006C4BA4" w:rsidP="006C4BA4">
      <w:pPr>
        <w:tabs>
          <w:tab w:val="left" w:pos="851"/>
        </w:tabs>
        <w:rPr>
          <w:sz w:val="20"/>
          <w:szCs w:val="20"/>
          <w:lang w:bidi="ar-SA"/>
        </w:rPr>
      </w:pPr>
    </w:p>
    <w:p w14:paraId="612E0708" w14:textId="77777777" w:rsidR="006C4BA4" w:rsidRPr="00B542C5" w:rsidRDefault="006C4BA4" w:rsidP="006C4BA4">
      <w:pPr>
        <w:tabs>
          <w:tab w:val="left" w:pos="851"/>
        </w:tabs>
        <w:rPr>
          <w:sz w:val="20"/>
          <w:szCs w:val="20"/>
          <w:lang w:bidi="ar-SA"/>
        </w:rPr>
      </w:pPr>
    </w:p>
    <w:p w14:paraId="3DD0A289" w14:textId="77777777" w:rsidR="006C4BA4" w:rsidRPr="00B542C5" w:rsidRDefault="006C4BA4" w:rsidP="006C4BA4">
      <w:pPr>
        <w:tabs>
          <w:tab w:val="left" w:pos="851"/>
        </w:tabs>
        <w:rPr>
          <w:sz w:val="20"/>
          <w:szCs w:val="20"/>
          <w:lang w:bidi="ar-SA"/>
        </w:rPr>
      </w:pPr>
    </w:p>
    <w:p w14:paraId="07F83970" w14:textId="77777777" w:rsidR="006C4BA4" w:rsidRPr="00B542C5" w:rsidRDefault="006C4BA4" w:rsidP="006C4BA4">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B542C5">
        <w:rPr>
          <w:b/>
          <w:sz w:val="20"/>
          <w:szCs w:val="20"/>
          <w:lang w:bidi="ar-SA"/>
        </w:rPr>
        <w:t xml:space="preserve">Note:  </w:t>
      </w:r>
    </w:p>
    <w:p w14:paraId="58C04518" w14:textId="77777777" w:rsidR="006C4BA4" w:rsidRPr="00B542C5" w:rsidRDefault="006C4BA4" w:rsidP="006C4BA4">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63278787" w14:textId="77777777" w:rsidR="006C4BA4" w:rsidRPr="00B542C5" w:rsidRDefault="006C4BA4" w:rsidP="006C4BA4">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B542C5">
        <w:rPr>
          <w:sz w:val="20"/>
          <w:szCs w:val="20"/>
          <w:lang w:bidi="ar-SA"/>
        </w:rPr>
        <w:t xml:space="preserve">This variation will be published in the Commonwealth of Australia Gazette No. FSC </w:t>
      </w:r>
      <w:r w:rsidRPr="00B813BC">
        <w:rPr>
          <w:sz w:val="20"/>
          <w:szCs w:val="20"/>
          <w:lang w:bidi="ar-SA"/>
        </w:rPr>
        <w:t>XX on XX Month</w:t>
      </w:r>
      <w:r w:rsidRPr="0096564E">
        <w:rPr>
          <w:sz w:val="20"/>
          <w:szCs w:val="20"/>
          <w:lang w:bidi="ar-SA"/>
        </w:rPr>
        <w:t xml:space="preserve"> 20</w:t>
      </w:r>
      <w:r>
        <w:rPr>
          <w:sz w:val="20"/>
          <w:szCs w:val="20"/>
          <w:lang w:bidi="ar-SA"/>
        </w:rPr>
        <w:t>18</w:t>
      </w:r>
      <w:r w:rsidRPr="00B542C5">
        <w:rPr>
          <w:sz w:val="20"/>
          <w:szCs w:val="20"/>
          <w:lang w:bidi="ar-SA"/>
        </w:rPr>
        <w:t xml:space="preserve">. This means that this date is the gazettal date for the purposes of clause 3 of the variation. </w:t>
      </w:r>
    </w:p>
    <w:p w14:paraId="7E872FC3" w14:textId="77777777" w:rsidR="006C4BA4" w:rsidRPr="00B542C5" w:rsidRDefault="006C4BA4" w:rsidP="006C4BA4">
      <w:pPr>
        <w:tabs>
          <w:tab w:val="left" w:pos="851"/>
        </w:tabs>
        <w:rPr>
          <w:color w:val="FF0000"/>
          <w:sz w:val="20"/>
          <w:szCs w:val="20"/>
          <w:lang w:bidi="ar-SA"/>
        </w:rPr>
      </w:pPr>
    </w:p>
    <w:p w14:paraId="2340575C" w14:textId="77777777" w:rsidR="006C4BA4" w:rsidRPr="00B542C5" w:rsidRDefault="006C4BA4" w:rsidP="006C4BA4">
      <w:pPr>
        <w:widowControl/>
        <w:rPr>
          <w:color w:val="FF0000"/>
          <w:sz w:val="20"/>
          <w:szCs w:val="20"/>
          <w:lang w:bidi="ar-SA"/>
        </w:rPr>
      </w:pPr>
      <w:r w:rsidRPr="00B542C5">
        <w:rPr>
          <w:color w:val="FF0000"/>
          <w:sz w:val="20"/>
          <w:szCs w:val="20"/>
          <w:lang w:bidi="ar-SA"/>
        </w:rPr>
        <w:br w:type="page"/>
      </w:r>
    </w:p>
    <w:p w14:paraId="76642049" w14:textId="77777777" w:rsidR="006C4BA4" w:rsidRPr="00B542C5" w:rsidRDefault="006C4BA4" w:rsidP="006C4BA4">
      <w:pPr>
        <w:pStyle w:val="FSCDraftingitemheading"/>
      </w:pPr>
      <w:r w:rsidRPr="00B542C5">
        <w:lastRenderedPageBreak/>
        <w:t>1</w:t>
      </w:r>
      <w:r w:rsidRPr="00B542C5">
        <w:tab/>
        <w:t>Name</w:t>
      </w:r>
    </w:p>
    <w:p w14:paraId="7A3795BD" w14:textId="77777777" w:rsidR="006C4BA4" w:rsidRPr="00B542C5" w:rsidRDefault="006C4BA4" w:rsidP="006C4BA4">
      <w:pPr>
        <w:pStyle w:val="FSCDraftingitem"/>
        <w:rPr>
          <w:color w:val="FF0000"/>
        </w:rPr>
      </w:pPr>
      <w:r w:rsidRPr="00B542C5">
        <w:t xml:space="preserve">This instrument is the </w:t>
      </w:r>
      <w:r w:rsidRPr="00B542C5">
        <w:rPr>
          <w:i/>
        </w:rPr>
        <w:t xml:space="preserve">Food </w:t>
      </w:r>
      <w:r w:rsidRPr="005C0C2D">
        <w:rPr>
          <w:i/>
        </w:rPr>
        <w:t>Standards (Proposal P</w:t>
      </w:r>
      <w:r>
        <w:rPr>
          <w:i/>
        </w:rPr>
        <w:t>1048</w:t>
      </w:r>
      <w:r w:rsidRPr="005C0C2D">
        <w:rPr>
          <w:i/>
        </w:rPr>
        <w:t xml:space="preserve"> – Code Revision </w:t>
      </w:r>
      <w:r>
        <w:rPr>
          <w:i/>
        </w:rPr>
        <w:t>(2018)</w:t>
      </w:r>
      <w:r w:rsidRPr="005C0C2D">
        <w:rPr>
          <w:i/>
        </w:rPr>
        <w:t xml:space="preserve">) </w:t>
      </w:r>
      <w:r w:rsidRPr="00B542C5">
        <w:rPr>
          <w:i/>
        </w:rPr>
        <w:t>Variation</w:t>
      </w:r>
      <w:r w:rsidRPr="00B542C5">
        <w:t>.</w:t>
      </w:r>
    </w:p>
    <w:p w14:paraId="4178725D" w14:textId="77777777" w:rsidR="006C4BA4" w:rsidRPr="00B542C5" w:rsidRDefault="006C4BA4" w:rsidP="006C4BA4">
      <w:pPr>
        <w:pStyle w:val="FSCDraftingitemheading"/>
      </w:pPr>
      <w:r w:rsidRPr="00B542C5">
        <w:t>2</w:t>
      </w:r>
      <w:r w:rsidRPr="00B542C5">
        <w:tab/>
        <w:t xml:space="preserve">Variation to standards in the </w:t>
      </w:r>
      <w:r w:rsidRPr="00B542C5">
        <w:rPr>
          <w:i/>
        </w:rPr>
        <w:t>Australia New Zealand Food Standards Code</w:t>
      </w:r>
    </w:p>
    <w:p w14:paraId="44C8399E" w14:textId="77777777" w:rsidR="006C4BA4" w:rsidRPr="00B542C5" w:rsidRDefault="006C4BA4" w:rsidP="006C4BA4">
      <w:pPr>
        <w:pStyle w:val="FSCDraftingitem"/>
      </w:pPr>
      <w:r w:rsidRPr="00B542C5">
        <w:t xml:space="preserve">The Schedule varies Standards in the </w:t>
      </w:r>
      <w:r w:rsidRPr="00B542C5">
        <w:rPr>
          <w:i/>
        </w:rPr>
        <w:t>Australia New Zealand Food Standards Code</w:t>
      </w:r>
      <w:r w:rsidRPr="00B542C5">
        <w:t>.</w:t>
      </w:r>
    </w:p>
    <w:p w14:paraId="50574873" w14:textId="77777777" w:rsidR="006C4BA4" w:rsidRPr="00B542C5" w:rsidRDefault="006C4BA4" w:rsidP="006C4BA4">
      <w:pPr>
        <w:pStyle w:val="FSCDraftingitemheading"/>
      </w:pPr>
      <w:r w:rsidRPr="00B542C5">
        <w:t>3</w:t>
      </w:r>
      <w:r w:rsidRPr="00B542C5">
        <w:tab/>
        <w:t>Commencement</w:t>
      </w:r>
    </w:p>
    <w:p w14:paraId="3F834CC1" w14:textId="77777777" w:rsidR="006C4BA4" w:rsidRDefault="006C4BA4" w:rsidP="006C4BA4">
      <w:pPr>
        <w:pStyle w:val="FSCDraftingitem"/>
      </w:pPr>
      <w:r w:rsidRPr="00653D9D">
        <w:t xml:space="preserve">The variation commences on </w:t>
      </w:r>
      <w:r>
        <w:t>the date of gazettal.</w:t>
      </w:r>
    </w:p>
    <w:p w14:paraId="2B244DF3" w14:textId="77777777" w:rsidR="006C4BA4" w:rsidRPr="00653D9D" w:rsidRDefault="006C4BA4" w:rsidP="006C4BA4">
      <w:pPr>
        <w:pStyle w:val="FSCDraftingitem"/>
      </w:pPr>
    </w:p>
    <w:p w14:paraId="2ACF21D8" w14:textId="77777777" w:rsidR="006C4BA4" w:rsidRPr="00653D9D" w:rsidRDefault="006C4BA4" w:rsidP="006C4BA4">
      <w:pPr>
        <w:pStyle w:val="FSCDraftingitemheading"/>
        <w:jc w:val="center"/>
      </w:pPr>
      <w:r w:rsidRPr="00653D9D">
        <w:t>SCHEDULE</w:t>
      </w:r>
    </w:p>
    <w:p w14:paraId="675228A5" w14:textId="77777777" w:rsidR="006C4BA4" w:rsidRPr="00023DEF" w:rsidRDefault="006C4BA4" w:rsidP="006C4BA4">
      <w:pPr>
        <w:pStyle w:val="FSCh5Section"/>
      </w:pPr>
      <w:r w:rsidRPr="00023DEF">
        <w:t xml:space="preserve">Standard 1.1.1 – Structure of the Code and general provisions </w:t>
      </w:r>
    </w:p>
    <w:p w14:paraId="55EE1F3A" w14:textId="77777777" w:rsidR="006C4BA4" w:rsidRPr="00023DEF" w:rsidRDefault="006C4BA4" w:rsidP="006C4BA4">
      <w:pPr>
        <w:pStyle w:val="FSCDraftingitemheading"/>
      </w:pPr>
      <w:r w:rsidRPr="00023DEF">
        <w:t>[1]</w:t>
      </w:r>
      <w:r w:rsidRPr="00023DEF">
        <w:tab/>
        <w:t>Subsection 1.1.1—2(2)</w:t>
      </w:r>
    </w:p>
    <w:p w14:paraId="2B30D361" w14:textId="77777777" w:rsidR="006C4BA4" w:rsidRPr="00023DEF" w:rsidRDefault="006C4BA4" w:rsidP="006C4BA4">
      <w:pPr>
        <w:pStyle w:val="FSCDraftingitem"/>
      </w:pPr>
      <w:r w:rsidRPr="00023DEF">
        <w:tab/>
        <w:t>Omit</w:t>
      </w:r>
    </w:p>
    <w:p w14:paraId="0B2A0BE1" w14:textId="77777777" w:rsidR="006C4BA4" w:rsidRPr="00023DEF" w:rsidRDefault="006C4BA4" w:rsidP="006C4BA4">
      <w:pPr>
        <w:pStyle w:val="FSCoutStand"/>
      </w:pPr>
      <w:r w:rsidRPr="00023DEF">
        <w:rPr>
          <w:rFonts w:cs="Times New Roman"/>
        </w:rPr>
        <w:tab/>
      </w:r>
      <w:r w:rsidRPr="00023DEF">
        <w:t>Schedule 22</w:t>
      </w:r>
      <w:r w:rsidRPr="00023DEF">
        <w:tab/>
        <w:t>Foods and classes of foods</w:t>
      </w:r>
    </w:p>
    <w:p w14:paraId="67166FD5" w14:textId="77777777" w:rsidR="006C4BA4" w:rsidRPr="00023DEF" w:rsidRDefault="006C4BA4" w:rsidP="006C4BA4">
      <w:pPr>
        <w:pStyle w:val="FSCnMain"/>
      </w:pPr>
      <w:r w:rsidRPr="00023DEF">
        <w:rPr>
          <w:b/>
          <w:i/>
        </w:rPr>
        <w:tab/>
        <w:t>Note</w:t>
      </w:r>
      <w:r w:rsidRPr="00023DEF">
        <w:tab/>
      </w:r>
      <w:r w:rsidRPr="00023DEF">
        <w:tab/>
        <w:t>Applies in Australia only</w:t>
      </w:r>
    </w:p>
    <w:p w14:paraId="62CD27F3" w14:textId="77777777" w:rsidR="006C4BA4" w:rsidRPr="00023DEF" w:rsidRDefault="006C4BA4" w:rsidP="006C4BA4">
      <w:pPr>
        <w:pStyle w:val="FSCDraftingitem"/>
      </w:pPr>
      <w:r w:rsidRPr="00023DEF">
        <w:tab/>
        <w:t>substitute</w:t>
      </w:r>
    </w:p>
    <w:p w14:paraId="738292DB" w14:textId="77777777" w:rsidR="006C4BA4" w:rsidRPr="00023DEF" w:rsidRDefault="006C4BA4" w:rsidP="006C4BA4">
      <w:pPr>
        <w:pStyle w:val="FSCoutStand"/>
      </w:pPr>
      <w:r w:rsidRPr="00023DEF">
        <w:rPr>
          <w:rFonts w:cs="Times New Roman"/>
        </w:rPr>
        <w:tab/>
      </w:r>
      <w:r w:rsidRPr="00023DEF">
        <w:t>Schedule 22</w:t>
      </w:r>
      <w:r w:rsidRPr="00023DEF">
        <w:tab/>
        <w:t>Foods and classes of foods</w:t>
      </w:r>
    </w:p>
    <w:p w14:paraId="7348C5E1" w14:textId="77777777" w:rsidR="006C4BA4" w:rsidRPr="00023DEF" w:rsidRDefault="006C4BA4" w:rsidP="006C4BA4">
      <w:pPr>
        <w:pStyle w:val="FSCh5Section"/>
      </w:pPr>
      <w:r w:rsidRPr="00023DEF">
        <w:t>Standard 1.1.2 – Definitions used throughout the Code</w:t>
      </w:r>
    </w:p>
    <w:p w14:paraId="49DC3F59" w14:textId="77777777" w:rsidR="006C4BA4" w:rsidRPr="00023DEF" w:rsidRDefault="006C4BA4" w:rsidP="006C4BA4">
      <w:pPr>
        <w:pStyle w:val="FSCDraftingitemheading"/>
      </w:pPr>
      <w:r w:rsidRPr="00023DEF">
        <w:t>[2]</w:t>
      </w:r>
      <w:r w:rsidRPr="00023DEF">
        <w:tab/>
        <w:t>Subsection 1.1.2—2(3)</w:t>
      </w:r>
    </w:p>
    <w:p w14:paraId="217727DA" w14:textId="77777777" w:rsidR="006C4BA4" w:rsidRPr="00023DEF" w:rsidRDefault="006C4BA4" w:rsidP="006C4BA4">
      <w:pPr>
        <w:pStyle w:val="FSCDraftingitemheading"/>
        <w:rPr>
          <w:b w:val="0"/>
        </w:rPr>
      </w:pPr>
      <w:r w:rsidRPr="00023DEF">
        <w:tab/>
      </w:r>
      <w:r w:rsidRPr="00023DEF">
        <w:rPr>
          <w:b w:val="0"/>
        </w:rPr>
        <w:t>Omit ‘2015 (edition 27)’, substitute ‘2017 (edition 28)’</w:t>
      </w:r>
    </w:p>
    <w:p w14:paraId="7340ACF6" w14:textId="77777777" w:rsidR="006C4BA4" w:rsidRPr="00023DEF" w:rsidRDefault="006C4BA4" w:rsidP="006C4BA4">
      <w:pPr>
        <w:pStyle w:val="FSCDraftingitemheading"/>
      </w:pPr>
      <w:r w:rsidRPr="00023DEF">
        <w:t>[3]</w:t>
      </w:r>
      <w:r w:rsidRPr="00023DEF">
        <w:tab/>
        <w:t>Subsection 1.1.2—9(1)(a)(i)</w:t>
      </w:r>
    </w:p>
    <w:p w14:paraId="1338403F" w14:textId="77777777" w:rsidR="006C4BA4" w:rsidRPr="00023DEF" w:rsidRDefault="006C4BA4" w:rsidP="006C4BA4">
      <w:pPr>
        <w:pStyle w:val="FSCDraftingitemheading"/>
        <w:rPr>
          <w:b w:val="0"/>
        </w:rPr>
      </w:pPr>
      <w:r w:rsidRPr="00023DEF">
        <w:tab/>
      </w:r>
      <w:r w:rsidRPr="00023DEF">
        <w:rPr>
          <w:b w:val="0"/>
        </w:rPr>
        <w:t>Omit ‘*fat’, substitute ‘fat’</w:t>
      </w:r>
    </w:p>
    <w:p w14:paraId="7005737F" w14:textId="77777777" w:rsidR="006C4BA4" w:rsidRPr="00023DEF" w:rsidRDefault="006C4BA4" w:rsidP="006C4BA4">
      <w:pPr>
        <w:pStyle w:val="FSCh5Section"/>
      </w:pPr>
      <w:r w:rsidRPr="00023DEF">
        <w:t>Standard 1.2.7 – Nutrition, health and related claims</w:t>
      </w:r>
    </w:p>
    <w:p w14:paraId="1C2CBB56" w14:textId="77777777" w:rsidR="006C4BA4" w:rsidRPr="00023DEF" w:rsidRDefault="006C4BA4" w:rsidP="006C4BA4">
      <w:pPr>
        <w:pStyle w:val="FSCDraftingitemheading"/>
        <w:keepNext/>
      </w:pPr>
      <w:r w:rsidRPr="00023DEF">
        <w:t>[4]</w:t>
      </w:r>
      <w:r w:rsidRPr="00023DEF">
        <w:tab/>
        <w:t>Section 1.2.7—4</w:t>
      </w:r>
    </w:p>
    <w:p w14:paraId="7B1B90CE" w14:textId="77777777" w:rsidR="006C4BA4" w:rsidRPr="00023DEF" w:rsidRDefault="006C4BA4" w:rsidP="006C4BA4">
      <w:pPr>
        <w:pStyle w:val="FSCDraftingitem"/>
      </w:pPr>
      <w:r w:rsidRPr="00023DEF">
        <w:tab/>
        <w:t xml:space="preserve">Omit ‘*nutrition content claim’, substitute ‘nutrition content claim’ </w:t>
      </w:r>
    </w:p>
    <w:p w14:paraId="6B8F225F" w14:textId="77777777" w:rsidR="006C4BA4" w:rsidRPr="00023DEF" w:rsidRDefault="006C4BA4" w:rsidP="006C4BA4">
      <w:pPr>
        <w:pStyle w:val="FSCh5Section"/>
      </w:pPr>
      <w:r w:rsidRPr="00023DEF">
        <w:t>Standard 1.2.8 – Nutrition information requirements</w:t>
      </w:r>
    </w:p>
    <w:p w14:paraId="6D269A4F" w14:textId="77777777" w:rsidR="006C4BA4" w:rsidRPr="00023DEF" w:rsidRDefault="006C4BA4" w:rsidP="006C4BA4">
      <w:pPr>
        <w:pStyle w:val="FSCDraftingitemheading"/>
        <w:keepNext/>
      </w:pPr>
      <w:r w:rsidRPr="00023DEF">
        <w:t>[5]</w:t>
      </w:r>
      <w:r w:rsidRPr="00023DEF">
        <w:tab/>
        <w:t>Paragraph 1.2.8—5(2)(b)</w:t>
      </w:r>
    </w:p>
    <w:p w14:paraId="7CFAB604" w14:textId="77777777" w:rsidR="006C4BA4" w:rsidRPr="00023DEF" w:rsidRDefault="006C4BA4" w:rsidP="006C4BA4">
      <w:pPr>
        <w:pStyle w:val="FSCDraftingitem"/>
      </w:pPr>
      <w:r w:rsidRPr="00023DEF">
        <w:tab/>
        <w:t>Omit ‘small package’, substitute ‘*small package’</w:t>
      </w:r>
    </w:p>
    <w:p w14:paraId="3925B841" w14:textId="77777777" w:rsidR="006C4BA4" w:rsidRPr="00023DEF" w:rsidRDefault="006C4BA4" w:rsidP="006C4BA4">
      <w:pPr>
        <w:pStyle w:val="FSCDraftingitemheading"/>
        <w:keepNext/>
      </w:pPr>
      <w:r w:rsidRPr="00023DEF">
        <w:t>[6]</w:t>
      </w:r>
      <w:r w:rsidRPr="00023DEF">
        <w:tab/>
        <w:t>Subsection 1.2.8—14(1)</w:t>
      </w:r>
    </w:p>
    <w:p w14:paraId="771A78BE" w14:textId="77777777" w:rsidR="006C4BA4" w:rsidRPr="00023DEF" w:rsidRDefault="006C4BA4" w:rsidP="006C4BA4">
      <w:pPr>
        <w:pStyle w:val="FSCDraftingitem"/>
      </w:pPr>
      <w:r w:rsidRPr="00023DEF">
        <w:tab/>
        <w:t>Omit ‘small package’, substitute ‘*small package’</w:t>
      </w:r>
    </w:p>
    <w:p w14:paraId="4D96F6C7" w14:textId="77777777" w:rsidR="006C4BA4" w:rsidRPr="00023DEF" w:rsidRDefault="006C4BA4" w:rsidP="006C4BA4">
      <w:pPr>
        <w:pStyle w:val="FSCh5Section"/>
      </w:pPr>
      <w:r w:rsidRPr="00023DEF">
        <w:t>Schedule 1 – RDIs and ESADDIs</w:t>
      </w:r>
    </w:p>
    <w:p w14:paraId="3385FD8C" w14:textId="77777777" w:rsidR="006C4BA4" w:rsidRPr="00023DEF" w:rsidRDefault="006C4BA4" w:rsidP="006C4BA4">
      <w:pPr>
        <w:pStyle w:val="FSCDraftingitemheading"/>
      </w:pPr>
      <w:r w:rsidRPr="00023DEF">
        <w:t>[7]</w:t>
      </w:r>
      <w:r w:rsidRPr="00023DEF">
        <w:tab/>
        <w:t>Section S1—4</w:t>
      </w:r>
    </w:p>
    <w:p w14:paraId="365CA1C0" w14:textId="77777777" w:rsidR="006C4BA4" w:rsidRPr="00023DEF" w:rsidRDefault="006C4BA4" w:rsidP="006C4BA4">
      <w:pPr>
        <w:pStyle w:val="FSCDraftingitem"/>
        <w:ind w:firstLine="851"/>
      </w:pPr>
      <w:r w:rsidRPr="00023DEF">
        <w:t>Omit ‘1.1.2—14(a)’, substitute ‘1.1.2—14(3)(a)’</w:t>
      </w:r>
    </w:p>
    <w:p w14:paraId="1AB61DF1" w14:textId="77777777" w:rsidR="006C4BA4" w:rsidRPr="00023DEF" w:rsidRDefault="006C4BA4" w:rsidP="006C4BA4">
      <w:pPr>
        <w:pStyle w:val="FSCDraftingitemheading"/>
      </w:pPr>
      <w:r w:rsidRPr="00023DEF">
        <w:t>[8]</w:t>
      </w:r>
      <w:r w:rsidRPr="00023DEF">
        <w:tab/>
        <w:t>Section S1—5</w:t>
      </w:r>
    </w:p>
    <w:p w14:paraId="57A75C33" w14:textId="77777777" w:rsidR="006C4BA4" w:rsidRPr="00023DEF" w:rsidRDefault="006C4BA4" w:rsidP="006C4BA4">
      <w:pPr>
        <w:pStyle w:val="FSCDraftingitem"/>
        <w:ind w:firstLine="851"/>
      </w:pPr>
      <w:r w:rsidRPr="00023DEF">
        <w:t>Omit ‘1.1.2—14(d)’, substitute ‘1.1.2—14(3)(c)’</w:t>
      </w:r>
    </w:p>
    <w:p w14:paraId="4A88EC77" w14:textId="77777777" w:rsidR="006C4BA4" w:rsidRPr="00023DEF" w:rsidRDefault="006C4BA4" w:rsidP="006C4BA4">
      <w:pPr>
        <w:pStyle w:val="FSCh5Section"/>
      </w:pPr>
      <w:r w:rsidRPr="00023DEF">
        <w:t>Schedule 11 – Calculation of values for nutrition information panel</w:t>
      </w:r>
    </w:p>
    <w:p w14:paraId="01E46634" w14:textId="77777777" w:rsidR="006C4BA4" w:rsidRPr="00023DEF" w:rsidRDefault="006C4BA4" w:rsidP="006C4BA4">
      <w:pPr>
        <w:pStyle w:val="FSCDraftingitemheading"/>
      </w:pPr>
      <w:r w:rsidRPr="00023DEF">
        <w:t>[9]</w:t>
      </w:r>
      <w:r w:rsidRPr="00023DEF">
        <w:tab/>
        <w:t>Section 11—4</w:t>
      </w:r>
    </w:p>
    <w:p w14:paraId="32318B9E" w14:textId="77777777" w:rsidR="006C4BA4" w:rsidRPr="00023DEF" w:rsidRDefault="006C4BA4" w:rsidP="006C4BA4">
      <w:pPr>
        <w:pStyle w:val="FSCDraftingitem"/>
        <w:ind w:firstLine="851"/>
      </w:pPr>
      <w:r w:rsidRPr="00023DEF">
        <w:t>Omit subsections (2) and (3), substitute</w:t>
      </w:r>
    </w:p>
    <w:p w14:paraId="31C6051E" w14:textId="77777777" w:rsidR="006C4BA4" w:rsidRPr="00023DEF" w:rsidRDefault="006C4BA4" w:rsidP="006C4BA4">
      <w:pPr>
        <w:pStyle w:val="FSCtMain"/>
      </w:pPr>
      <w:r w:rsidRPr="00023DEF">
        <w:tab/>
        <w:t>(2)</w:t>
      </w:r>
      <w:r w:rsidRPr="00023DEF">
        <w:tab/>
        <w:t xml:space="preserve">The total *dietary fibre, and amount of any specifically named fibre, in a food must be determined in accordance with any one or more of the methods contained in </w:t>
      </w:r>
      <w:r w:rsidRPr="00023DEF">
        <w:lastRenderedPageBreak/>
        <w:t>following sections of the AOAC:</w:t>
      </w:r>
    </w:p>
    <w:p w14:paraId="14BF1CC7" w14:textId="77777777" w:rsidR="006C4BA4" w:rsidRPr="00023DEF" w:rsidRDefault="006C4BA4" w:rsidP="006C4BA4">
      <w:pPr>
        <w:pStyle w:val="FSCtPara"/>
      </w:pPr>
      <w:r w:rsidRPr="00023DEF">
        <w:tab/>
        <w:t>(a)</w:t>
      </w:r>
      <w:r w:rsidRPr="00023DEF">
        <w:tab/>
        <w:t>for dietary fibre—sections 985.29 or 991.43;</w:t>
      </w:r>
    </w:p>
    <w:p w14:paraId="02BFBFB6" w14:textId="77777777" w:rsidR="006C4BA4" w:rsidRPr="00023DEF" w:rsidRDefault="006C4BA4" w:rsidP="006C4BA4">
      <w:pPr>
        <w:pStyle w:val="FSCtPara"/>
      </w:pPr>
      <w:r w:rsidRPr="00023DEF">
        <w:tab/>
        <w:t>(b)</w:t>
      </w:r>
      <w:r w:rsidRPr="00023DEF">
        <w:tab/>
        <w:t>for dietary fibre (including all resistant maltodextrins)—section 2001.03;</w:t>
      </w:r>
    </w:p>
    <w:p w14:paraId="112A4C30" w14:textId="77777777" w:rsidR="006C4BA4" w:rsidRPr="00023DEF" w:rsidRDefault="006C4BA4" w:rsidP="006C4BA4">
      <w:pPr>
        <w:pStyle w:val="FSCtPara"/>
      </w:pPr>
      <w:r w:rsidRPr="00023DEF">
        <w:tab/>
        <w:t>(c)</w:t>
      </w:r>
      <w:r w:rsidRPr="00023DEF">
        <w:tab/>
        <w:t>for inulin and fructooligosaccharide—section 997.08;</w:t>
      </w:r>
    </w:p>
    <w:p w14:paraId="1EB98138" w14:textId="77777777" w:rsidR="006C4BA4" w:rsidRPr="00023DEF" w:rsidRDefault="006C4BA4" w:rsidP="006C4BA4">
      <w:pPr>
        <w:pStyle w:val="FSCtPara"/>
      </w:pPr>
      <w:r w:rsidRPr="00023DEF">
        <w:tab/>
        <w:t>(d)</w:t>
      </w:r>
      <w:r w:rsidRPr="00023DEF">
        <w:tab/>
        <w:t>for inulin—section 999.03;</w:t>
      </w:r>
    </w:p>
    <w:p w14:paraId="4D9EF92A" w14:textId="77777777" w:rsidR="006C4BA4" w:rsidRPr="00023DEF" w:rsidRDefault="006C4BA4" w:rsidP="006C4BA4">
      <w:pPr>
        <w:pStyle w:val="FSCtPara"/>
      </w:pPr>
      <w:r w:rsidRPr="00023DEF">
        <w:tab/>
        <w:t>(e)</w:t>
      </w:r>
      <w:r w:rsidRPr="00023DEF">
        <w:tab/>
        <w:t>for polydextrose—section 2000.11.</w:t>
      </w:r>
    </w:p>
    <w:p w14:paraId="66C9A675" w14:textId="77777777" w:rsidR="006C4BA4" w:rsidRPr="00023DEF" w:rsidRDefault="006C4BA4" w:rsidP="006C4BA4">
      <w:pPr>
        <w:pStyle w:val="FSCtMain"/>
      </w:pPr>
      <w:r w:rsidRPr="00023DEF">
        <w:tab/>
        <w:t>(3)</w:t>
      </w:r>
      <w:r w:rsidRPr="00023DEF">
        <w:tab/>
        <w:t>If the dietary fibre content of a food has been determined by more than 1 method of analysis, the total dietary fibre content is calculated by:</w:t>
      </w:r>
    </w:p>
    <w:p w14:paraId="6103CD6A" w14:textId="77777777" w:rsidR="006C4BA4" w:rsidRPr="00023DEF" w:rsidRDefault="006C4BA4" w:rsidP="006C4BA4">
      <w:pPr>
        <w:pStyle w:val="FSCtPara"/>
      </w:pPr>
      <w:r w:rsidRPr="00023DEF">
        <w:tab/>
        <w:t>(a)</w:t>
      </w:r>
      <w:r w:rsidRPr="00023DEF">
        <w:tab/>
        <w:t>adding together the results from each method of analysis; and</w:t>
      </w:r>
    </w:p>
    <w:p w14:paraId="69EC3F76" w14:textId="77777777" w:rsidR="006C4BA4" w:rsidRPr="00023DEF" w:rsidRDefault="006C4BA4" w:rsidP="006C4BA4">
      <w:pPr>
        <w:pStyle w:val="FSCtPara"/>
      </w:pPr>
      <w:r w:rsidRPr="00023DEF">
        <w:tab/>
        <w:t>(b)</w:t>
      </w:r>
      <w:r w:rsidRPr="00023DEF">
        <w:tab/>
        <w:t>subtracting any portion of dietary fibre which has been included in the results of more than one method of analysis.</w:t>
      </w:r>
    </w:p>
    <w:p w14:paraId="274B778C" w14:textId="77777777" w:rsidR="006C4BA4" w:rsidRPr="00023DEF" w:rsidRDefault="006C4BA4" w:rsidP="006C4BA4">
      <w:pPr>
        <w:pStyle w:val="FSCh5Section"/>
      </w:pPr>
      <w:r w:rsidRPr="00023DEF">
        <w:t>Schedule 15 – Substances that may be used as food additives</w:t>
      </w:r>
    </w:p>
    <w:p w14:paraId="1535FBFF" w14:textId="77777777" w:rsidR="006C4BA4" w:rsidRPr="00023DEF" w:rsidRDefault="006C4BA4" w:rsidP="006C4BA4">
      <w:pPr>
        <w:pStyle w:val="FSCDraftingitemheading"/>
      </w:pPr>
      <w:r w:rsidRPr="00023DEF">
        <w:t>[10]</w:t>
      </w:r>
      <w:r w:rsidRPr="00023DEF">
        <w:tab/>
        <w:t>Section 15—5</w:t>
      </w:r>
    </w:p>
    <w:p w14:paraId="531119B6" w14:textId="77777777" w:rsidR="006C4BA4" w:rsidRPr="00023DEF" w:rsidRDefault="006C4BA4" w:rsidP="006C4BA4">
      <w:pPr>
        <w:pStyle w:val="FSCDraftingitem"/>
        <w:ind w:left="851"/>
      </w:pPr>
      <w:r w:rsidRPr="00023DEF">
        <w:t>Omit ‘9.3.2’, substitute ‘9.3.1’</w:t>
      </w:r>
    </w:p>
    <w:p w14:paraId="52143E2C" w14:textId="77777777" w:rsidR="006C4BA4" w:rsidRPr="00023DEF" w:rsidRDefault="006C4BA4" w:rsidP="006C4BA4">
      <w:pPr>
        <w:pStyle w:val="FSCh5Section"/>
      </w:pPr>
      <w:r w:rsidRPr="00023DEF">
        <w:t>Schedule 18 – Processing aids</w:t>
      </w:r>
    </w:p>
    <w:p w14:paraId="6DA1FCC4" w14:textId="77777777" w:rsidR="006C4BA4" w:rsidRPr="00023DEF" w:rsidRDefault="006C4BA4" w:rsidP="006C4BA4">
      <w:pPr>
        <w:pStyle w:val="FSCDraftingitemheading"/>
      </w:pPr>
      <w:r w:rsidRPr="00023DEF">
        <w:t>[11]</w:t>
      </w:r>
      <w:r w:rsidRPr="00023DEF">
        <w:tab/>
        <w:t>Subsection S18—3</w:t>
      </w:r>
    </w:p>
    <w:p w14:paraId="7A6AE2C9" w14:textId="77777777" w:rsidR="006C4BA4" w:rsidRPr="00023DEF" w:rsidRDefault="006C4BA4" w:rsidP="006C4BA4">
      <w:pPr>
        <w:pStyle w:val="FSCDraftingitem"/>
        <w:ind w:left="851"/>
      </w:pPr>
      <w:r w:rsidRPr="00023DEF">
        <w:t>Omit the second ‘Technological purpose—decolourants, clarifying, filtration and adsorbent agents’.</w:t>
      </w:r>
    </w:p>
    <w:p w14:paraId="718B3553" w14:textId="77777777" w:rsidR="006C4BA4" w:rsidRPr="00023DEF" w:rsidRDefault="006C4BA4" w:rsidP="006C4BA4">
      <w:pPr>
        <w:pStyle w:val="FSCDraftingitemheading"/>
      </w:pPr>
      <w:r w:rsidRPr="00023DEF">
        <w:t>[12]</w:t>
      </w:r>
      <w:r w:rsidRPr="00023DEF">
        <w:tab/>
        <w:t>Subsection S18—9(3)</w:t>
      </w:r>
    </w:p>
    <w:p w14:paraId="0489982F" w14:textId="77777777" w:rsidR="006C4BA4" w:rsidRPr="00023DEF" w:rsidRDefault="006C4BA4" w:rsidP="006C4BA4">
      <w:pPr>
        <w:pStyle w:val="FSCDraftingitem"/>
        <w:ind w:left="851"/>
      </w:pPr>
      <w:r w:rsidRPr="00023DEF">
        <w:t>Omit</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6C4BA4" w:rsidRPr="00023DEF" w14:paraId="6C2B5B49" w14:textId="77777777" w:rsidTr="00161B93">
        <w:trPr>
          <w:tblHeader/>
          <w:jc w:val="center"/>
        </w:trPr>
        <w:tc>
          <w:tcPr>
            <w:tcW w:w="3120" w:type="dxa"/>
            <w:tcBorders>
              <w:top w:val="single" w:sz="4" w:space="0" w:color="auto"/>
              <w:bottom w:val="single" w:sz="4" w:space="0" w:color="auto"/>
            </w:tcBorders>
          </w:tcPr>
          <w:p w14:paraId="2D9FED43" w14:textId="77777777" w:rsidR="006C4BA4" w:rsidRPr="00023DEF" w:rsidRDefault="006C4BA4" w:rsidP="00161B93">
            <w:pPr>
              <w:pStyle w:val="FSCtblh3"/>
            </w:pPr>
            <w:r w:rsidRPr="00023DEF">
              <w:t>Substance</w:t>
            </w:r>
          </w:p>
        </w:tc>
        <w:tc>
          <w:tcPr>
            <w:tcW w:w="3603" w:type="dxa"/>
            <w:tcBorders>
              <w:top w:val="single" w:sz="4" w:space="0" w:color="auto"/>
              <w:bottom w:val="single" w:sz="4" w:space="0" w:color="auto"/>
            </w:tcBorders>
          </w:tcPr>
          <w:p w14:paraId="6B5DE0EE" w14:textId="77777777" w:rsidR="006C4BA4" w:rsidRPr="00023DEF" w:rsidRDefault="006C4BA4" w:rsidP="00161B93">
            <w:pPr>
              <w:pStyle w:val="FSCtblh3"/>
            </w:pPr>
            <w:r w:rsidRPr="00023DEF">
              <w:t>Technological purpose</w:t>
            </w:r>
          </w:p>
        </w:tc>
        <w:tc>
          <w:tcPr>
            <w:tcW w:w="2349" w:type="dxa"/>
            <w:tcBorders>
              <w:top w:val="single" w:sz="4" w:space="0" w:color="auto"/>
              <w:bottom w:val="single" w:sz="4" w:space="0" w:color="auto"/>
            </w:tcBorders>
          </w:tcPr>
          <w:p w14:paraId="0B8AF024" w14:textId="77777777" w:rsidR="006C4BA4" w:rsidRPr="00023DEF" w:rsidRDefault="006C4BA4" w:rsidP="00161B93">
            <w:pPr>
              <w:pStyle w:val="FSCtblh3"/>
            </w:pPr>
            <w:r w:rsidRPr="00023DEF">
              <w:t>Maximum permitted and food level (mg/kg)</w:t>
            </w:r>
          </w:p>
        </w:tc>
      </w:tr>
    </w:tbl>
    <w:p w14:paraId="5659E0ED" w14:textId="77777777" w:rsidR="006C4BA4" w:rsidRPr="00023DEF" w:rsidRDefault="006C4BA4" w:rsidP="006C4BA4">
      <w:pPr>
        <w:pStyle w:val="FSCDraftingitem"/>
      </w:pPr>
      <w:r w:rsidRPr="00023DEF">
        <w:tab/>
        <w:t>Substitute</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6C4BA4" w:rsidRPr="00023DEF" w14:paraId="5D17BF26" w14:textId="77777777" w:rsidTr="00161B93">
        <w:trPr>
          <w:tblHeader/>
          <w:jc w:val="center"/>
        </w:trPr>
        <w:tc>
          <w:tcPr>
            <w:tcW w:w="3120" w:type="dxa"/>
            <w:tcBorders>
              <w:top w:val="single" w:sz="4" w:space="0" w:color="auto"/>
              <w:bottom w:val="single" w:sz="4" w:space="0" w:color="auto"/>
            </w:tcBorders>
          </w:tcPr>
          <w:p w14:paraId="5116C308" w14:textId="77777777" w:rsidR="006C4BA4" w:rsidRPr="00023DEF" w:rsidRDefault="006C4BA4" w:rsidP="00161B93">
            <w:pPr>
              <w:pStyle w:val="FSCtblh3"/>
            </w:pPr>
            <w:r w:rsidRPr="00023DEF">
              <w:t>Substance</w:t>
            </w:r>
          </w:p>
        </w:tc>
        <w:tc>
          <w:tcPr>
            <w:tcW w:w="3603" w:type="dxa"/>
            <w:tcBorders>
              <w:top w:val="single" w:sz="4" w:space="0" w:color="auto"/>
              <w:bottom w:val="single" w:sz="4" w:space="0" w:color="auto"/>
            </w:tcBorders>
          </w:tcPr>
          <w:p w14:paraId="7144E910" w14:textId="77777777" w:rsidR="006C4BA4" w:rsidRPr="00023DEF" w:rsidRDefault="006C4BA4" w:rsidP="00161B93">
            <w:pPr>
              <w:pStyle w:val="FSCtblh3"/>
            </w:pPr>
            <w:r w:rsidRPr="00023DEF">
              <w:t>Technological purpose and food</w:t>
            </w:r>
          </w:p>
        </w:tc>
        <w:tc>
          <w:tcPr>
            <w:tcW w:w="2349" w:type="dxa"/>
            <w:tcBorders>
              <w:top w:val="single" w:sz="4" w:space="0" w:color="auto"/>
              <w:bottom w:val="single" w:sz="4" w:space="0" w:color="auto"/>
            </w:tcBorders>
          </w:tcPr>
          <w:p w14:paraId="7BADFEE0" w14:textId="77777777" w:rsidR="006C4BA4" w:rsidRPr="00023DEF" w:rsidRDefault="006C4BA4" w:rsidP="00161B93">
            <w:pPr>
              <w:pStyle w:val="FSCtblh3"/>
            </w:pPr>
            <w:r w:rsidRPr="00023DEF">
              <w:t>Maximum permitted level (mg/kg)</w:t>
            </w:r>
          </w:p>
        </w:tc>
      </w:tr>
    </w:tbl>
    <w:p w14:paraId="730D04AB" w14:textId="77777777" w:rsidR="006C4BA4" w:rsidRPr="00023DEF" w:rsidRDefault="006C4BA4" w:rsidP="006C4BA4">
      <w:pPr>
        <w:pStyle w:val="FSCh5Section"/>
      </w:pPr>
      <w:r w:rsidRPr="00023DEF">
        <w:t>Schedule 26 – Food produced using gene technology</w:t>
      </w:r>
    </w:p>
    <w:p w14:paraId="55791B97" w14:textId="77777777" w:rsidR="006C4BA4" w:rsidRPr="00023DEF" w:rsidRDefault="006C4BA4" w:rsidP="006C4BA4">
      <w:pPr>
        <w:pStyle w:val="FSCDraftingitemheading"/>
      </w:pPr>
      <w:r w:rsidRPr="00023DEF">
        <w:t>[13]</w:t>
      </w:r>
      <w:r w:rsidRPr="00023DEF">
        <w:tab/>
        <w:t>Subsection S26—3(4) paragraph 1(g)</w:t>
      </w:r>
    </w:p>
    <w:p w14:paraId="22245948" w14:textId="77777777" w:rsidR="006C4BA4" w:rsidRPr="00023DEF" w:rsidRDefault="006C4BA4" w:rsidP="006C4BA4">
      <w:pPr>
        <w:pStyle w:val="FSCDraftingitem"/>
        <w:ind w:left="851"/>
      </w:pPr>
      <w:r w:rsidRPr="00023DEF">
        <w:t>Omit ‘products’, substitute ‘products (see subsection (2A))’</w:t>
      </w:r>
    </w:p>
    <w:p w14:paraId="6781E86F" w14:textId="77777777" w:rsidR="006C4BA4" w:rsidRPr="00023DEF" w:rsidRDefault="006C4BA4" w:rsidP="006C4BA4">
      <w:pPr>
        <w:pStyle w:val="FSCDraftingitemheading"/>
      </w:pPr>
      <w:r w:rsidRPr="00023DEF">
        <w:t>[14]</w:t>
      </w:r>
      <w:r w:rsidRPr="00023DEF">
        <w:tab/>
        <w:t>Subsection S26—3(4) paragraph 6(b)</w:t>
      </w:r>
    </w:p>
    <w:p w14:paraId="7DBEDCE3" w14:textId="77777777" w:rsidR="006C4BA4" w:rsidRPr="00023DEF" w:rsidRDefault="006C4BA4" w:rsidP="006C4BA4">
      <w:pPr>
        <w:pStyle w:val="FSCDraftingitem"/>
        <w:ind w:left="851"/>
      </w:pPr>
      <w:r w:rsidRPr="00023DEF">
        <w:t>Omit ‘GR2E’, substitute ‘GR2E (see subsection (2A))’</w:t>
      </w:r>
    </w:p>
    <w:p w14:paraId="1E2CE641" w14:textId="77777777" w:rsidR="006C4BA4" w:rsidRPr="00023DEF" w:rsidRDefault="006C4BA4" w:rsidP="006C4BA4">
      <w:pPr>
        <w:pStyle w:val="FSCDraftingitem"/>
        <w:rPr>
          <w:b/>
          <w:sz w:val="22"/>
          <w:szCs w:val="22"/>
        </w:rPr>
      </w:pPr>
      <w:r w:rsidRPr="00023DEF">
        <w:rPr>
          <w:b/>
          <w:sz w:val="22"/>
          <w:szCs w:val="22"/>
        </w:rPr>
        <w:t>Schedule 29 – Special purpose foods</w:t>
      </w:r>
    </w:p>
    <w:p w14:paraId="3B8A13C5" w14:textId="77777777" w:rsidR="006C4BA4" w:rsidRPr="00023DEF" w:rsidRDefault="006C4BA4" w:rsidP="006C4BA4">
      <w:pPr>
        <w:pStyle w:val="FSCDraftingitemheading"/>
      </w:pPr>
      <w:r w:rsidRPr="00023DEF">
        <w:t>[15]</w:t>
      </w:r>
      <w:r w:rsidRPr="00023DEF">
        <w:tab/>
        <w:t>Subsection S29—14(1)</w:t>
      </w:r>
    </w:p>
    <w:p w14:paraId="3B254356" w14:textId="77777777" w:rsidR="006C4BA4" w:rsidRPr="00023DEF" w:rsidRDefault="006C4BA4" w:rsidP="006C4BA4">
      <w:pPr>
        <w:pStyle w:val="FSCDraftingitem"/>
        <w:ind w:left="851"/>
      </w:pPr>
      <w:r w:rsidRPr="00023DEF">
        <w:t>Omit ‘section 2.9.3—5’, substitute ‘sections 2.9.3—5 and 2.9.3—6’</w:t>
      </w:r>
    </w:p>
    <w:bookmarkEnd w:id="130"/>
    <w:bookmarkEnd w:id="131"/>
    <w:p w14:paraId="1F94FAC2" w14:textId="77777777" w:rsidR="006C4BA4" w:rsidRPr="00023DEF" w:rsidRDefault="006C4BA4" w:rsidP="006C4BA4">
      <w:pPr>
        <w:pStyle w:val="FSCDraftingitemheading"/>
      </w:pPr>
      <w:r w:rsidRPr="00023DEF">
        <w:t>[16]</w:t>
      </w:r>
      <w:r w:rsidRPr="00023DEF">
        <w:tab/>
        <w:t>The table to Section S29—20</w:t>
      </w:r>
    </w:p>
    <w:p w14:paraId="3164A704" w14:textId="77777777" w:rsidR="006C4BA4" w:rsidRPr="00023DEF" w:rsidRDefault="006C4BA4" w:rsidP="006C4BA4">
      <w:pPr>
        <w:pStyle w:val="FSCDraftingitem"/>
        <w:ind w:left="851"/>
      </w:pPr>
      <w:r w:rsidRPr="00023DEF">
        <w:t xml:space="preserve">Omit </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6C4BA4" w:rsidRPr="00023DEF" w14:paraId="1A54237A" w14:textId="77777777" w:rsidTr="00161B93">
        <w:trPr>
          <w:cantSplit/>
          <w:jc w:val="center"/>
        </w:trPr>
        <w:tc>
          <w:tcPr>
            <w:tcW w:w="3969" w:type="dxa"/>
          </w:tcPr>
          <w:p w14:paraId="7D680351" w14:textId="77777777" w:rsidR="006C4BA4" w:rsidRPr="00023DEF" w:rsidRDefault="006C4BA4" w:rsidP="00161B93">
            <w:pPr>
              <w:pStyle w:val="FSCtblMain"/>
            </w:pPr>
            <w:r w:rsidRPr="00023DEF">
              <w:t>L-cystine</w:t>
            </w:r>
          </w:p>
        </w:tc>
      </w:tr>
      <w:tr w:rsidR="006C4BA4" w:rsidRPr="00023DEF" w14:paraId="796661CF" w14:textId="77777777" w:rsidTr="00161B93">
        <w:trPr>
          <w:cantSplit/>
          <w:jc w:val="center"/>
        </w:trPr>
        <w:tc>
          <w:tcPr>
            <w:tcW w:w="3969" w:type="dxa"/>
          </w:tcPr>
          <w:p w14:paraId="28E1CC46" w14:textId="77777777" w:rsidR="006C4BA4" w:rsidRPr="00023DEF" w:rsidRDefault="006C4BA4" w:rsidP="00161B93">
            <w:pPr>
              <w:pStyle w:val="FSCtblMain"/>
            </w:pPr>
          </w:p>
        </w:tc>
      </w:tr>
      <w:tr w:rsidR="006C4BA4" w:rsidRPr="00023DEF" w14:paraId="45C39E9A" w14:textId="77777777" w:rsidTr="00161B93">
        <w:trPr>
          <w:cantSplit/>
          <w:jc w:val="center"/>
        </w:trPr>
        <w:tc>
          <w:tcPr>
            <w:tcW w:w="3969" w:type="dxa"/>
          </w:tcPr>
          <w:p w14:paraId="67C32DDE" w14:textId="77777777" w:rsidR="006C4BA4" w:rsidRPr="00023DEF" w:rsidRDefault="006C4BA4" w:rsidP="00161B93">
            <w:pPr>
              <w:pStyle w:val="FSCtblMain"/>
            </w:pPr>
            <w:r w:rsidRPr="00023DEF">
              <w:t>L-glutamic acid</w:t>
            </w:r>
          </w:p>
        </w:tc>
      </w:tr>
    </w:tbl>
    <w:p w14:paraId="7CA84492" w14:textId="77777777" w:rsidR="006C4BA4" w:rsidRPr="00023DEF" w:rsidRDefault="006C4BA4" w:rsidP="006C4BA4">
      <w:pPr>
        <w:tabs>
          <w:tab w:val="left" w:pos="851"/>
        </w:tabs>
        <w:rPr>
          <w:b/>
          <w:sz w:val="20"/>
          <w:szCs w:val="20"/>
          <w:lang w:bidi="ar-SA"/>
        </w:rPr>
      </w:pPr>
      <w:r w:rsidRPr="00023DEF">
        <w:rPr>
          <w:sz w:val="20"/>
          <w:szCs w:val="20"/>
          <w:lang w:bidi="ar-SA"/>
        </w:rPr>
        <w:tab/>
      </w:r>
    </w:p>
    <w:p w14:paraId="5E5B91F1" w14:textId="77777777" w:rsidR="006C4BA4" w:rsidRPr="00023DEF" w:rsidRDefault="006C4BA4" w:rsidP="006C4BA4">
      <w:pPr>
        <w:tabs>
          <w:tab w:val="left" w:pos="851"/>
        </w:tabs>
        <w:rPr>
          <w:sz w:val="20"/>
          <w:szCs w:val="20"/>
          <w:lang w:bidi="ar-SA"/>
        </w:rPr>
      </w:pPr>
      <w:r w:rsidRPr="00023DEF">
        <w:rPr>
          <w:sz w:val="20"/>
          <w:szCs w:val="20"/>
          <w:lang w:bidi="ar-SA"/>
        </w:rPr>
        <w:tab/>
        <w:t>Substitute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6C4BA4" w:rsidRPr="00023DEF" w14:paraId="24162D3D" w14:textId="77777777" w:rsidTr="00161B93">
        <w:trPr>
          <w:cantSplit/>
          <w:jc w:val="center"/>
        </w:trPr>
        <w:tc>
          <w:tcPr>
            <w:tcW w:w="3969" w:type="dxa"/>
          </w:tcPr>
          <w:p w14:paraId="79FAC2F5" w14:textId="77777777" w:rsidR="006C4BA4" w:rsidRPr="00023DEF" w:rsidRDefault="006C4BA4" w:rsidP="00161B93">
            <w:pPr>
              <w:pStyle w:val="FSCtblMain"/>
            </w:pPr>
            <w:r w:rsidRPr="00023DEF">
              <w:t>L-cystine</w:t>
            </w:r>
          </w:p>
        </w:tc>
      </w:tr>
      <w:tr w:rsidR="006C4BA4" w:rsidRPr="007439CB" w14:paraId="78922405" w14:textId="77777777" w:rsidTr="00161B93">
        <w:trPr>
          <w:cantSplit/>
          <w:jc w:val="center"/>
        </w:trPr>
        <w:tc>
          <w:tcPr>
            <w:tcW w:w="3969" w:type="dxa"/>
          </w:tcPr>
          <w:p w14:paraId="01D236EF" w14:textId="57D32441" w:rsidR="006C4BA4" w:rsidRPr="007439CB" w:rsidRDefault="006C4BA4" w:rsidP="00161B93">
            <w:pPr>
              <w:pStyle w:val="FSCtblMain"/>
            </w:pPr>
            <w:r w:rsidRPr="00023DEF">
              <w:rPr>
                <w:szCs w:val="18"/>
              </w:rPr>
              <w:lastRenderedPageBreak/>
              <w:t>L-glutamic aci</w:t>
            </w:r>
          </w:p>
        </w:tc>
      </w:tr>
    </w:tbl>
    <w:p w14:paraId="314F997B" w14:textId="0D27505F" w:rsidR="00BD49FF" w:rsidRPr="00B542C5" w:rsidRDefault="00BD49FF" w:rsidP="006C4BA4">
      <w:pPr>
        <w:tabs>
          <w:tab w:val="left" w:pos="851"/>
        </w:tabs>
        <w:rPr>
          <w:color w:val="FF0000"/>
        </w:rPr>
      </w:pPr>
    </w:p>
    <w:sectPr w:rsidR="00BD49FF" w:rsidRPr="00B542C5"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02EBC" w14:textId="77777777" w:rsidR="008A6463" w:rsidRDefault="008A6463">
      <w:r>
        <w:separator/>
      </w:r>
    </w:p>
    <w:p w14:paraId="227DA37D" w14:textId="77777777" w:rsidR="008A6463" w:rsidRDefault="008A6463"/>
  </w:endnote>
  <w:endnote w:type="continuationSeparator" w:id="0">
    <w:p w14:paraId="13120554" w14:textId="77777777" w:rsidR="008A6463" w:rsidRDefault="008A6463">
      <w:r>
        <w:continuationSeparator/>
      </w:r>
    </w:p>
    <w:p w14:paraId="35632D93" w14:textId="77777777" w:rsidR="008A6463" w:rsidRDefault="008A6463"/>
  </w:endnote>
  <w:endnote w:type="continuationNotice" w:id="1">
    <w:p w14:paraId="594AD930" w14:textId="77777777" w:rsidR="008A6463" w:rsidRDefault="008A6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99E2" w14:textId="2332A1CD" w:rsidR="008A6463" w:rsidRDefault="008A6463" w:rsidP="008E098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14F99E3" w14:textId="77777777" w:rsidR="008A6463" w:rsidRDefault="008A6463" w:rsidP="00881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314F99E4" w14:textId="16EF967A" w:rsidR="008A6463" w:rsidRDefault="008A6463" w:rsidP="00A671E6">
        <w:pPr>
          <w:pStyle w:val="Footer"/>
          <w:jc w:val="center"/>
        </w:pPr>
        <w:r>
          <w:fldChar w:fldCharType="begin"/>
        </w:r>
        <w:r>
          <w:instrText xml:space="preserve"> PAGE   \* MERGEFORMAT </w:instrText>
        </w:r>
        <w:r>
          <w:fldChar w:fldCharType="separate"/>
        </w:r>
        <w:r w:rsidR="008818A6">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B3D1E" w14:textId="77777777" w:rsidR="008A6463" w:rsidRDefault="008A6463">
      <w:r>
        <w:separator/>
      </w:r>
    </w:p>
    <w:p w14:paraId="3B7469E9" w14:textId="77777777" w:rsidR="008A6463" w:rsidRDefault="008A6463"/>
  </w:footnote>
  <w:footnote w:type="continuationSeparator" w:id="0">
    <w:p w14:paraId="09A26A0B" w14:textId="77777777" w:rsidR="008A6463" w:rsidRDefault="008A6463">
      <w:r>
        <w:continuationSeparator/>
      </w:r>
    </w:p>
    <w:p w14:paraId="36CACBE3" w14:textId="77777777" w:rsidR="008A6463" w:rsidRDefault="008A6463"/>
  </w:footnote>
  <w:footnote w:type="continuationNotice" w:id="1">
    <w:p w14:paraId="22342A9F" w14:textId="77777777" w:rsidR="008A6463" w:rsidRDefault="008A64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99E5" w14:textId="69D1BAFD" w:rsidR="008A6463" w:rsidRDefault="008A646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B2373"/>
    <w:multiLevelType w:val="hybridMultilevel"/>
    <w:tmpl w:val="62060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B5672C"/>
    <w:multiLevelType w:val="hybridMultilevel"/>
    <w:tmpl w:val="A7A25D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0" w15:restartNumberingAfterBreak="0">
    <w:nsid w:val="238853CE"/>
    <w:multiLevelType w:val="hybridMultilevel"/>
    <w:tmpl w:val="AC20D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BFD33E8"/>
    <w:multiLevelType w:val="hybridMultilevel"/>
    <w:tmpl w:val="7728DDD2"/>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382CF8"/>
    <w:multiLevelType w:val="hybridMultilevel"/>
    <w:tmpl w:val="E20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3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2BB53B5"/>
    <w:multiLevelType w:val="hybridMultilevel"/>
    <w:tmpl w:val="F76ED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4"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127AF3"/>
    <w:multiLevelType w:val="hybridMultilevel"/>
    <w:tmpl w:val="33F82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40"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7117CA0"/>
    <w:multiLevelType w:val="hybridMultilevel"/>
    <w:tmpl w:val="B8F2C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9277B95"/>
    <w:multiLevelType w:val="hybridMultilevel"/>
    <w:tmpl w:val="87429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DF1C40"/>
    <w:multiLevelType w:val="hybridMultilevel"/>
    <w:tmpl w:val="D7C07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B75F75"/>
    <w:multiLevelType w:val="hybridMultilevel"/>
    <w:tmpl w:val="D1F8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195198"/>
    <w:multiLevelType w:val="hybridMultilevel"/>
    <w:tmpl w:val="E0C0D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51"/>
  </w:num>
  <w:num w:numId="2">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4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46"/>
  </w:num>
  <w:num w:numId="14">
    <w:abstractNumId w:val="29"/>
  </w:num>
  <w:num w:numId="15">
    <w:abstractNumId w:val="44"/>
  </w:num>
  <w:num w:numId="16">
    <w:abstractNumId w:val="12"/>
  </w:num>
  <w:num w:numId="17">
    <w:abstractNumId w:val="3"/>
  </w:num>
  <w:num w:numId="18">
    <w:abstractNumId w:val="0"/>
  </w:num>
  <w:num w:numId="19">
    <w:abstractNumId w:val="33"/>
  </w:num>
  <w:num w:numId="20">
    <w:abstractNumId w:val="8"/>
  </w:num>
  <w:num w:numId="21">
    <w:abstractNumId w:val="52"/>
  </w:num>
  <w:num w:numId="22">
    <w:abstractNumId w:val="43"/>
  </w:num>
  <w:num w:numId="23">
    <w:abstractNumId w:val="14"/>
  </w:num>
  <w:num w:numId="24">
    <w:abstractNumId w:val="16"/>
  </w:num>
  <w:num w:numId="25">
    <w:abstractNumId w:val="40"/>
  </w:num>
  <w:num w:numId="26">
    <w:abstractNumId w:val="40"/>
  </w:num>
  <w:num w:numId="27">
    <w:abstractNumId w:val="27"/>
  </w:num>
  <w:num w:numId="28">
    <w:abstractNumId w:val="34"/>
  </w:num>
  <w:num w:numId="29">
    <w:abstractNumId w:val="35"/>
  </w:num>
  <w:num w:numId="30">
    <w:abstractNumId w:val="22"/>
  </w:num>
  <w:num w:numId="31">
    <w:abstractNumId w:val="18"/>
  </w:num>
  <w:num w:numId="32">
    <w:abstractNumId w:val="2"/>
  </w:num>
  <w:num w:numId="33">
    <w:abstractNumId w:val="10"/>
  </w:num>
  <w:num w:numId="34">
    <w:abstractNumId w:val="4"/>
  </w:num>
  <w:num w:numId="35">
    <w:abstractNumId w:val="30"/>
  </w:num>
  <w:num w:numId="36">
    <w:abstractNumId w:val="26"/>
  </w:num>
  <w:num w:numId="37">
    <w:abstractNumId w:val="7"/>
  </w:num>
  <w:num w:numId="38">
    <w:abstractNumId w:val="50"/>
  </w:num>
  <w:num w:numId="39">
    <w:abstractNumId w:val="21"/>
  </w:num>
  <w:num w:numId="40">
    <w:abstractNumId w:val="36"/>
  </w:num>
  <w:num w:numId="41">
    <w:abstractNumId w:val="13"/>
  </w:num>
  <w:num w:numId="42">
    <w:abstractNumId w:val="39"/>
  </w:num>
  <w:num w:numId="43">
    <w:abstractNumId w:val="17"/>
  </w:num>
  <w:num w:numId="44">
    <w:abstractNumId w:val="25"/>
  </w:num>
  <w:num w:numId="45">
    <w:abstractNumId w:val="23"/>
  </w:num>
  <w:num w:numId="46">
    <w:abstractNumId w:val="11"/>
  </w:num>
  <w:num w:numId="47">
    <w:abstractNumId w:val="24"/>
  </w:num>
  <w:num w:numId="48">
    <w:abstractNumId w:val="37"/>
  </w:num>
  <w:num w:numId="49">
    <w:abstractNumId w:val="28"/>
  </w:num>
  <w:num w:numId="50">
    <w:abstractNumId w:val="9"/>
  </w:num>
  <w:num w:numId="51">
    <w:abstractNumId w:val="47"/>
  </w:num>
  <w:num w:numId="52">
    <w:abstractNumId w:val="38"/>
  </w:num>
  <w:num w:numId="53">
    <w:abstractNumId w:val="19"/>
  </w:num>
  <w:num w:numId="54">
    <w:abstractNumId w:val="45"/>
  </w:num>
  <w:num w:numId="55">
    <w:abstractNumId w:val="20"/>
  </w:num>
  <w:num w:numId="56">
    <w:abstractNumId w:val="48"/>
  </w:num>
  <w:num w:numId="57">
    <w:abstractNumId w:val="41"/>
  </w:num>
  <w:num w:numId="58">
    <w:abstractNumId w:val="32"/>
  </w:num>
  <w:num w:numId="5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041"/>
    <w:rsid w:val="0000469B"/>
    <w:rsid w:val="0000717B"/>
    <w:rsid w:val="00007907"/>
    <w:rsid w:val="00010E79"/>
    <w:rsid w:val="00011187"/>
    <w:rsid w:val="00014E34"/>
    <w:rsid w:val="000229B2"/>
    <w:rsid w:val="00022ACD"/>
    <w:rsid w:val="00023AF7"/>
    <w:rsid w:val="00023DEF"/>
    <w:rsid w:val="000332AE"/>
    <w:rsid w:val="000340FE"/>
    <w:rsid w:val="00035FF3"/>
    <w:rsid w:val="000367E0"/>
    <w:rsid w:val="00036EBA"/>
    <w:rsid w:val="0004051E"/>
    <w:rsid w:val="000418F0"/>
    <w:rsid w:val="00042816"/>
    <w:rsid w:val="00045730"/>
    <w:rsid w:val="00051021"/>
    <w:rsid w:val="000524F0"/>
    <w:rsid w:val="00052D54"/>
    <w:rsid w:val="000576EB"/>
    <w:rsid w:val="00063C37"/>
    <w:rsid w:val="00064B2D"/>
    <w:rsid w:val="00065F1F"/>
    <w:rsid w:val="000677A3"/>
    <w:rsid w:val="00072528"/>
    <w:rsid w:val="00076D33"/>
    <w:rsid w:val="00076D3B"/>
    <w:rsid w:val="00077859"/>
    <w:rsid w:val="00077AEA"/>
    <w:rsid w:val="00081B0A"/>
    <w:rsid w:val="00085414"/>
    <w:rsid w:val="000865D5"/>
    <w:rsid w:val="00090CB4"/>
    <w:rsid w:val="00093A0D"/>
    <w:rsid w:val="00093C7D"/>
    <w:rsid w:val="000A0E8D"/>
    <w:rsid w:val="000A3D8B"/>
    <w:rsid w:val="000B0F51"/>
    <w:rsid w:val="000B2FBE"/>
    <w:rsid w:val="000B427A"/>
    <w:rsid w:val="000B436E"/>
    <w:rsid w:val="000B6359"/>
    <w:rsid w:val="000B6AF2"/>
    <w:rsid w:val="000B7762"/>
    <w:rsid w:val="000C34BA"/>
    <w:rsid w:val="000D1BE4"/>
    <w:rsid w:val="000D4538"/>
    <w:rsid w:val="000D6FD4"/>
    <w:rsid w:val="000D70CA"/>
    <w:rsid w:val="000D7847"/>
    <w:rsid w:val="000D7B1C"/>
    <w:rsid w:val="000E0AE4"/>
    <w:rsid w:val="000E1983"/>
    <w:rsid w:val="000E1EA4"/>
    <w:rsid w:val="000E35FB"/>
    <w:rsid w:val="000E3DBC"/>
    <w:rsid w:val="000E662F"/>
    <w:rsid w:val="000E7177"/>
    <w:rsid w:val="000F3CFE"/>
    <w:rsid w:val="000F47A8"/>
    <w:rsid w:val="000F5CFD"/>
    <w:rsid w:val="000F6568"/>
    <w:rsid w:val="00102819"/>
    <w:rsid w:val="00104544"/>
    <w:rsid w:val="00107135"/>
    <w:rsid w:val="0010778D"/>
    <w:rsid w:val="00110F93"/>
    <w:rsid w:val="001122EC"/>
    <w:rsid w:val="0012198C"/>
    <w:rsid w:val="0012388D"/>
    <w:rsid w:val="00127254"/>
    <w:rsid w:val="00130DD4"/>
    <w:rsid w:val="00131BE7"/>
    <w:rsid w:val="00132731"/>
    <w:rsid w:val="00136B57"/>
    <w:rsid w:val="0014187D"/>
    <w:rsid w:val="00150B54"/>
    <w:rsid w:val="0015187A"/>
    <w:rsid w:val="00157143"/>
    <w:rsid w:val="00161B93"/>
    <w:rsid w:val="00166F2A"/>
    <w:rsid w:val="0017159C"/>
    <w:rsid w:val="00175EF1"/>
    <w:rsid w:val="00176D70"/>
    <w:rsid w:val="00177265"/>
    <w:rsid w:val="00177EAC"/>
    <w:rsid w:val="00180A0B"/>
    <w:rsid w:val="00182C4C"/>
    <w:rsid w:val="0018756D"/>
    <w:rsid w:val="001878C5"/>
    <w:rsid w:val="00192E0E"/>
    <w:rsid w:val="0019399D"/>
    <w:rsid w:val="00196F01"/>
    <w:rsid w:val="00197D8D"/>
    <w:rsid w:val="001A1A75"/>
    <w:rsid w:val="001A568C"/>
    <w:rsid w:val="001A62F9"/>
    <w:rsid w:val="001A7074"/>
    <w:rsid w:val="001A7E9A"/>
    <w:rsid w:val="001C27A3"/>
    <w:rsid w:val="001C51DC"/>
    <w:rsid w:val="001C76CF"/>
    <w:rsid w:val="001D16E3"/>
    <w:rsid w:val="001D43F6"/>
    <w:rsid w:val="001D4D87"/>
    <w:rsid w:val="001E09FA"/>
    <w:rsid w:val="001F1032"/>
    <w:rsid w:val="001F1766"/>
    <w:rsid w:val="001F5BCA"/>
    <w:rsid w:val="001F7F63"/>
    <w:rsid w:val="00200E9E"/>
    <w:rsid w:val="00202A6F"/>
    <w:rsid w:val="00202B44"/>
    <w:rsid w:val="00207244"/>
    <w:rsid w:val="0021337A"/>
    <w:rsid w:val="0022054E"/>
    <w:rsid w:val="00220A2C"/>
    <w:rsid w:val="0022197C"/>
    <w:rsid w:val="00221D07"/>
    <w:rsid w:val="00222199"/>
    <w:rsid w:val="00223A20"/>
    <w:rsid w:val="00224E3B"/>
    <w:rsid w:val="00227E4A"/>
    <w:rsid w:val="002360E5"/>
    <w:rsid w:val="00236F9B"/>
    <w:rsid w:val="00240AC7"/>
    <w:rsid w:val="00240FD8"/>
    <w:rsid w:val="002421C1"/>
    <w:rsid w:val="00250197"/>
    <w:rsid w:val="00255FD7"/>
    <w:rsid w:val="00257906"/>
    <w:rsid w:val="002603BB"/>
    <w:rsid w:val="00262403"/>
    <w:rsid w:val="00264CB2"/>
    <w:rsid w:val="00266107"/>
    <w:rsid w:val="00266C33"/>
    <w:rsid w:val="00272E43"/>
    <w:rsid w:val="002758A0"/>
    <w:rsid w:val="00280BAA"/>
    <w:rsid w:val="00280C31"/>
    <w:rsid w:val="0028218D"/>
    <w:rsid w:val="002851B6"/>
    <w:rsid w:val="0029204E"/>
    <w:rsid w:val="00292B9B"/>
    <w:rsid w:val="00294CB1"/>
    <w:rsid w:val="00296FF2"/>
    <w:rsid w:val="002A0194"/>
    <w:rsid w:val="002A1FBD"/>
    <w:rsid w:val="002A2D5A"/>
    <w:rsid w:val="002A5F8B"/>
    <w:rsid w:val="002A6CA4"/>
    <w:rsid w:val="002A7F6C"/>
    <w:rsid w:val="002B0071"/>
    <w:rsid w:val="002B0E7B"/>
    <w:rsid w:val="002B0EDB"/>
    <w:rsid w:val="002B6544"/>
    <w:rsid w:val="002B7C98"/>
    <w:rsid w:val="002C1A3B"/>
    <w:rsid w:val="002C33AA"/>
    <w:rsid w:val="002C350C"/>
    <w:rsid w:val="002C54E9"/>
    <w:rsid w:val="002D2FC9"/>
    <w:rsid w:val="002D3B60"/>
    <w:rsid w:val="002D593F"/>
    <w:rsid w:val="002D59CC"/>
    <w:rsid w:val="002D5D2C"/>
    <w:rsid w:val="002E16D5"/>
    <w:rsid w:val="002E1820"/>
    <w:rsid w:val="002E18C2"/>
    <w:rsid w:val="002E33B8"/>
    <w:rsid w:val="002E5B96"/>
    <w:rsid w:val="002F35EA"/>
    <w:rsid w:val="002F3FE9"/>
    <w:rsid w:val="002F6488"/>
    <w:rsid w:val="002F7678"/>
    <w:rsid w:val="00300F8E"/>
    <w:rsid w:val="003020A0"/>
    <w:rsid w:val="003022B7"/>
    <w:rsid w:val="00305868"/>
    <w:rsid w:val="00305C54"/>
    <w:rsid w:val="00305D67"/>
    <w:rsid w:val="0031016C"/>
    <w:rsid w:val="00312B7F"/>
    <w:rsid w:val="00312CB2"/>
    <w:rsid w:val="0031426B"/>
    <w:rsid w:val="00315627"/>
    <w:rsid w:val="00317E70"/>
    <w:rsid w:val="003213F9"/>
    <w:rsid w:val="00323AB6"/>
    <w:rsid w:val="00323DBF"/>
    <w:rsid w:val="00327867"/>
    <w:rsid w:val="003311F5"/>
    <w:rsid w:val="00332241"/>
    <w:rsid w:val="00332B12"/>
    <w:rsid w:val="00337CBC"/>
    <w:rsid w:val="00340EE9"/>
    <w:rsid w:val="003428FC"/>
    <w:rsid w:val="00343F83"/>
    <w:rsid w:val="00346622"/>
    <w:rsid w:val="003507DB"/>
    <w:rsid w:val="00351B07"/>
    <w:rsid w:val="00356D0D"/>
    <w:rsid w:val="00357952"/>
    <w:rsid w:val="0036533D"/>
    <w:rsid w:val="00370B85"/>
    <w:rsid w:val="00371B29"/>
    <w:rsid w:val="00374C15"/>
    <w:rsid w:val="003766F8"/>
    <w:rsid w:val="00380106"/>
    <w:rsid w:val="003802F8"/>
    <w:rsid w:val="003814F0"/>
    <w:rsid w:val="00381E07"/>
    <w:rsid w:val="00385788"/>
    <w:rsid w:val="00386596"/>
    <w:rsid w:val="00386639"/>
    <w:rsid w:val="00391337"/>
    <w:rsid w:val="00391769"/>
    <w:rsid w:val="003928B7"/>
    <w:rsid w:val="003953E1"/>
    <w:rsid w:val="003956B3"/>
    <w:rsid w:val="00396AE0"/>
    <w:rsid w:val="0039711A"/>
    <w:rsid w:val="003A0A4D"/>
    <w:rsid w:val="003A3D30"/>
    <w:rsid w:val="003A68BE"/>
    <w:rsid w:val="003A6FD3"/>
    <w:rsid w:val="003A7B84"/>
    <w:rsid w:val="003B3B2A"/>
    <w:rsid w:val="003B6060"/>
    <w:rsid w:val="003C3DBC"/>
    <w:rsid w:val="003C4969"/>
    <w:rsid w:val="003C51A0"/>
    <w:rsid w:val="003C6B6C"/>
    <w:rsid w:val="003D2CDC"/>
    <w:rsid w:val="003E4069"/>
    <w:rsid w:val="003E41D5"/>
    <w:rsid w:val="003E46BA"/>
    <w:rsid w:val="003E7EE9"/>
    <w:rsid w:val="003F1D1E"/>
    <w:rsid w:val="003F74C1"/>
    <w:rsid w:val="00401ADE"/>
    <w:rsid w:val="00401CE3"/>
    <w:rsid w:val="00402AFD"/>
    <w:rsid w:val="00405B1A"/>
    <w:rsid w:val="00410C76"/>
    <w:rsid w:val="00411907"/>
    <w:rsid w:val="00416704"/>
    <w:rsid w:val="00417EE3"/>
    <w:rsid w:val="004207EB"/>
    <w:rsid w:val="00420956"/>
    <w:rsid w:val="00420B50"/>
    <w:rsid w:val="00421730"/>
    <w:rsid w:val="00421908"/>
    <w:rsid w:val="00422EC9"/>
    <w:rsid w:val="00423AC7"/>
    <w:rsid w:val="004270FB"/>
    <w:rsid w:val="00432A42"/>
    <w:rsid w:val="00434147"/>
    <w:rsid w:val="00437276"/>
    <w:rsid w:val="0044615A"/>
    <w:rsid w:val="00453646"/>
    <w:rsid w:val="00456B54"/>
    <w:rsid w:val="00456BD5"/>
    <w:rsid w:val="004627B6"/>
    <w:rsid w:val="00464643"/>
    <w:rsid w:val="0047175E"/>
    <w:rsid w:val="0047439E"/>
    <w:rsid w:val="00474842"/>
    <w:rsid w:val="00484E1E"/>
    <w:rsid w:val="00486793"/>
    <w:rsid w:val="00486C66"/>
    <w:rsid w:val="00494A3F"/>
    <w:rsid w:val="004A2037"/>
    <w:rsid w:val="004A6E58"/>
    <w:rsid w:val="004A793C"/>
    <w:rsid w:val="004B047B"/>
    <w:rsid w:val="004B2AD2"/>
    <w:rsid w:val="004B4CDC"/>
    <w:rsid w:val="004B5FE2"/>
    <w:rsid w:val="004C011D"/>
    <w:rsid w:val="004C0D7A"/>
    <w:rsid w:val="004C1167"/>
    <w:rsid w:val="004D121E"/>
    <w:rsid w:val="004D1B1C"/>
    <w:rsid w:val="004D42FA"/>
    <w:rsid w:val="004D5CD4"/>
    <w:rsid w:val="004D7A6E"/>
    <w:rsid w:val="004E7B29"/>
    <w:rsid w:val="004F4F98"/>
    <w:rsid w:val="004F69F6"/>
    <w:rsid w:val="004F79AC"/>
    <w:rsid w:val="005010E4"/>
    <w:rsid w:val="00505261"/>
    <w:rsid w:val="00506E9B"/>
    <w:rsid w:val="0051188B"/>
    <w:rsid w:val="00513B28"/>
    <w:rsid w:val="005146FA"/>
    <w:rsid w:val="005207D8"/>
    <w:rsid w:val="00523930"/>
    <w:rsid w:val="005244F1"/>
    <w:rsid w:val="005303EE"/>
    <w:rsid w:val="00530BE6"/>
    <w:rsid w:val="00537CDC"/>
    <w:rsid w:val="0055006C"/>
    <w:rsid w:val="00554D3E"/>
    <w:rsid w:val="00560185"/>
    <w:rsid w:val="00562917"/>
    <w:rsid w:val="00571B8C"/>
    <w:rsid w:val="00573C2A"/>
    <w:rsid w:val="00576406"/>
    <w:rsid w:val="00580DDF"/>
    <w:rsid w:val="005811B7"/>
    <w:rsid w:val="00586228"/>
    <w:rsid w:val="005946D3"/>
    <w:rsid w:val="00597631"/>
    <w:rsid w:val="005A40F0"/>
    <w:rsid w:val="005A550E"/>
    <w:rsid w:val="005A5582"/>
    <w:rsid w:val="005A572E"/>
    <w:rsid w:val="005B084E"/>
    <w:rsid w:val="005B089F"/>
    <w:rsid w:val="005B0E68"/>
    <w:rsid w:val="005B21C5"/>
    <w:rsid w:val="005B4424"/>
    <w:rsid w:val="005B6826"/>
    <w:rsid w:val="005B6AF4"/>
    <w:rsid w:val="005C04CB"/>
    <w:rsid w:val="005C0CDB"/>
    <w:rsid w:val="005C62EE"/>
    <w:rsid w:val="005D16AD"/>
    <w:rsid w:val="005D2016"/>
    <w:rsid w:val="005D2FEF"/>
    <w:rsid w:val="005D354C"/>
    <w:rsid w:val="005D72E1"/>
    <w:rsid w:val="005E06C0"/>
    <w:rsid w:val="005E33A0"/>
    <w:rsid w:val="005E4D5C"/>
    <w:rsid w:val="005E58D3"/>
    <w:rsid w:val="005E6E16"/>
    <w:rsid w:val="005F196B"/>
    <w:rsid w:val="005F400E"/>
    <w:rsid w:val="005F40E0"/>
    <w:rsid w:val="005F7342"/>
    <w:rsid w:val="0060298A"/>
    <w:rsid w:val="00602CAC"/>
    <w:rsid w:val="00610A3C"/>
    <w:rsid w:val="006138D7"/>
    <w:rsid w:val="00614E0F"/>
    <w:rsid w:val="00615E83"/>
    <w:rsid w:val="00616017"/>
    <w:rsid w:val="006170E7"/>
    <w:rsid w:val="006220A4"/>
    <w:rsid w:val="006234C3"/>
    <w:rsid w:val="0062592F"/>
    <w:rsid w:val="00627F48"/>
    <w:rsid w:val="0063023A"/>
    <w:rsid w:val="00633879"/>
    <w:rsid w:val="0063455F"/>
    <w:rsid w:val="00635814"/>
    <w:rsid w:val="00653D9D"/>
    <w:rsid w:val="006544FB"/>
    <w:rsid w:val="006621A8"/>
    <w:rsid w:val="00663713"/>
    <w:rsid w:val="00663FCF"/>
    <w:rsid w:val="00664C83"/>
    <w:rsid w:val="00664F84"/>
    <w:rsid w:val="006652A2"/>
    <w:rsid w:val="006662BF"/>
    <w:rsid w:val="006664CB"/>
    <w:rsid w:val="0067386A"/>
    <w:rsid w:val="006743DD"/>
    <w:rsid w:val="006761FC"/>
    <w:rsid w:val="00676CEA"/>
    <w:rsid w:val="006825BC"/>
    <w:rsid w:val="00683071"/>
    <w:rsid w:val="00685F60"/>
    <w:rsid w:val="006915CF"/>
    <w:rsid w:val="00692490"/>
    <w:rsid w:val="006928A6"/>
    <w:rsid w:val="00693EAF"/>
    <w:rsid w:val="006969CC"/>
    <w:rsid w:val="00696A15"/>
    <w:rsid w:val="006A05D2"/>
    <w:rsid w:val="006A2029"/>
    <w:rsid w:val="006A48A7"/>
    <w:rsid w:val="006A5D40"/>
    <w:rsid w:val="006B1090"/>
    <w:rsid w:val="006C1C2A"/>
    <w:rsid w:val="006C22A7"/>
    <w:rsid w:val="006C231F"/>
    <w:rsid w:val="006C2A60"/>
    <w:rsid w:val="006C4365"/>
    <w:rsid w:val="006C4BA4"/>
    <w:rsid w:val="006C4D66"/>
    <w:rsid w:val="006C514F"/>
    <w:rsid w:val="006C577E"/>
    <w:rsid w:val="006C5CF5"/>
    <w:rsid w:val="006D00FD"/>
    <w:rsid w:val="006D0300"/>
    <w:rsid w:val="006D2153"/>
    <w:rsid w:val="006D33FF"/>
    <w:rsid w:val="006D59E4"/>
    <w:rsid w:val="006E10A1"/>
    <w:rsid w:val="006E1F73"/>
    <w:rsid w:val="006F4A82"/>
    <w:rsid w:val="00710C37"/>
    <w:rsid w:val="00711EAD"/>
    <w:rsid w:val="00714DF5"/>
    <w:rsid w:val="00715A18"/>
    <w:rsid w:val="00724FA4"/>
    <w:rsid w:val="00725D02"/>
    <w:rsid w:val="00725F8C"/>
    <w:rsid w:val="00730800"/>
    <w:rsid w:val="00740D4A"/>
    <w:rsid w:val="007417F2"/>
    <w:rsid w:val="00743D43"/>
    <w:rsid w:val="007476A7"/>
    <w:rsid w:val="0075448F"/>
    <w:rsid w:val="00754817"/>
    <w:rsid w:val="00755F02"/>
    <w:rsid w:val="007602AA"/>
    <w:rsid w:val="00761F99"/>
    <w:rsid w:val="00762785"/>
    <w:rsid w:val="00763F4C"/>
    <w:rsid w:val="007652EF"/>
    <w:rsid w:val="00765DE1"/>
    <w:rsid w:val="00772BDC"/>
    <w:rsid w:val="00774DAD"/>
    <w:rsid w:val="00777437"/>
    <w:rsid w:val="00780792"/>
    <w:rsid w:val="0078309E"/>
    <w:rsid w:val="00784C58"/>
    <w:rsid w:val="0078587B"/>
    <w:rsid w:val="00785C77"/>
    <w:rsid w:val="007860C4"/>
    <w:rsid w:val="0079346D"/>
    <w:rsid w:val="00795D86"/>
    <w:rsid w:val="00797816"/>
    <w:rsid w:val="007A44B4"/>
    <w:rsid w:val="007A53BF"/>
    <w:rsid w:val="007A7D3D"/>
    <w:rsid w:val="007B2017"/>
    <w:rsid w:val="007B225D"/>
    <w:rsid w:val="007B37B3"/>
    <w:rsid w:val="007B5B91"/>
    <w:rsid w:val="007B5B9B"/>
    <w:rsid w:val="007C18F6"/>
    <w:rsid w:val="007C1C64"/>
    <w:rsid w:val="007C22CB"/>
    <w:rsid w:val="007C6EF9"/>
    <w:rsid w:val="007C77DC"/>
    <w:rsid w:val="007D0189"/>
    <w:rsid w:val="007D4D5F"/>
    <w:rsid w:val="007D611E"/>
    <w:rsid w:val="007E48BC"/>
    <w:rsid w:val="007E4A6A"/>
    <w:rsid w:val="007E79F7"/>
    <w:rsid w:val="007F28C9"/>
    <w:rsid w:val="007F3630"/>
    <w:rsid w:val="007F7BF7"/>
    <w:rsid w:val="00807559"/>
    <w:rsid w:val="00810510"/>
    <w:rsid w:val="00813464"/>
    <w:rsid w:val="00813F25"/>
    <w:rsid w:val="00823711"/>
    <w:rsid w:val="00825839"/>
    <w:rsid w:val="008275E8"/>
    <w:rsid w:val="00831154"/>
    <w:rsid w:val="008326EE"/>
    <w:rsid w:val="008450BC"/>
    <w:rsid w:val="00847066"/>
    <w:rsid w:val="008470A2"/>
    <w:rsid w:val="00847E16"/>
    <w:rsid w:val="008507EE"/>
    <w:rsid w:val="00850B09"/>
    <w:rsid w:val="00852BC2"/>
    <w:rsid w:val="0085334B"/>
    <w:rsid w:val="008537BA"/>
    <w:rsid w:val="00856712"/>
    <w:rsid w:val="00860808"/>
    <w:rsid w:val="00861C13"/>
    <w:rsid w:val="00862349"/>
    <w:rsid w:val="008628B9"/>
    <w:rsid w:val="00862BAE"/>
    <w:rsid w:val="0086571E"/>
    <w:rsid w:val="00870214"/>
    <w:rsid w:val="008705B3"/>
    <w:rsid w:val="00870935"/>
    <w:rsid w:val="00871116"/>
    <w:rsid w:val="008818A6"/>
    <w:rsid w:val="008853DB"/>
    <w:rsid w:val="00885C51"/>
    <w:rsid w:val="00895FA0"/>
    <w:rsid w:val="00895FF7"/>
    <w:rsid w:val="00896B85"/>
    <w:rsid w:val="00897D57"/>
    <w:rsid w:val="008A09BB"/>
    <w:rsid w:val="008A243D"/>
    <w:rsid w:val="008A6463"/>
    <w:rsid w:val="008B72A8"/>
    <w:rsid w:val="008C30B9"/>
    <w:rsid w:val="008C3B8B"/>
    <w:rsid w:val="008C4E76"/>
    <w:rsid w:val="008C4EE5"/>
    <w:rsid w:val="008D06C6"/>
    <w:rsid w:val="008D2114"/>
    <w:rsid w:val="008D2762"/>
    <w:rsid w:val="008D4682"/>
    <w:rsid w:val="008D5E9D"/>
    <w:rsid w:val="008E098D"/>
    <w:rsid w:val="008E1A00"/>
    <w:rsid w:val="008E4779"/>
    <w:rsid w:val="008E6250"/>
    <w:rsid w:val="008E7102"/>
    <w:rsid w:val="008F06C4"/>
    <w:rsid w:val="008F1EF1"/>
    <w:rsid w:val="008F5DC6"/>
    <w:rsid w:val="008F5EAD"/>
    <w:rsid w:val="00903310"/>
    <w:rsid w:val="00907581"/>
    <w:rsid w:val="0091252A"/>
    <w:rsid w:val="00915172"/>
    <w:rsid w:val="0091794C"/>
    <w:rsid w:val="00917C6F"/>
    <w:rsid w:val="00920249"/>
    <w:rsid w:val="00920848"/>
    <w:rsid w:val="00925370"/>
    <w:rsid w:val="00932F14"/>
    <w:rsid w:val="00933BAE"/>
    <w:rsid w:val="00934E9B"/>
    <w:rsid w:val="0094247F"/>
    <w:rsid w:val="00942D60"/>
    <w:rsid w:val="0094358A"/>
    <w:rsid w:val="00943B85"/>
    <w:rsid w:val="009460FA"/>
    <w:rsid w:val="00946B58"/>
    <w:rsid w:val="00947534"/>
    <w:rsid w:val="009478A1"/>
    <w:rsid w:val="009504A8"/>
    <w:rsid w:val="009565CD"/>
    <w:rsid w:val="0096344C"/>
    <w:rsid w:val="0096523B"/>
    <w:rsid w:val="00972D06"/>
    <w:rsid w:val="009743CB"/>
    <w:rsid w:val="00992C45"/>
    <w:rsid w:val="0099323D"/>
    <w:rsid w:val="0099623A"/>
    <w:rsid w:val="009A13AC"/>
    <w:rsid w:val="009A2699"/>
    <w:rsid w:val="009A2DC9"/>
    <w:rsid w:val="009A391C"/>
    <w:rsid w:val="009A40E5"/>
    <w:rsid w:val="009A46F7"/>
    <w:rsid w:val="009A6870"/>
    <w:rsid w:val="009B6D5B"/>
    <w:rsid w:val="009C3174"/>
    <w:rsid w:val="009C63C0"/>
    <w:rsid w:val="009C6D73"/>
    <w:rsid w:val="009D1C40"/>
    <w:rsid w:val="009D6873"/>
    <w:rsid w:val="009D74DD"/>
    <w:rsid w:val="009E0A61"/>
    <w:rsid w:val="009E3010"/>
    <w:rsid w:val="009E30A2"/>
    <w:rsid w:val="009E46F5"/>
    <w:rsid w:val="009E5A4F"/>
    <w:rsid w:val="009F12BA"/>
    <w:rsid w:val="009F1959"/>
    <w:rsid w:val="009F7065"/>
    <w:rsid w:val="00A017EB"/>
    <w:rsid w:val="00A06A9C"/>
    <w:rsid w:val="00A075CE"/>
    <w:rsid w:val="00A07B88"/>
    <w:rsid w:val="00A10AE4"/>
    <w:rsid w:val="00A10D52"/>
    <w:rsid w:val="00A141C2"/>
    <w:rsid w:val="00A165DD"/>
    <w:rsid w:val="00A23BF7"/>
    <w:rsid w:val="00A2449C"/>
    <w:rsid w:val="00A26268"/>
    <w:rsid w:val="00A26297"/>
    <w:rsid w:val="00A27221"/>
    <w:rsid w:val="00A30855"/>
    <w:rsid w:val="00A318EB"/>
    <w:rsid w:val="00A34B25"/>
    <w:rsid w:val="00A35988"/>
    <w:rsid w:val="00A35A9F"/>
    <w:rsid w:val="00A40C00"/>
    <w:rsid w:val="00A40C27"/>
    <w:rsid w:val="00A551B9"/>
    <w:rsid w:val="00A56DC7"/>
    <w:rsid w:val="00A615A6"/>
    <w:rsid w:val="00A635A9"/>
    <w:rsid w:val="00A6416D"/>
    <w:rsid w:val="00A66FDD"/>
    <w:rsid w:val="00A671E6"/>
    <w:rsid w:val="00A709E5"/>
    <w:rsid w:val="00A74FD1"/>
    <w:rsid w:val="00A77678"/>
    <w:rsid w:val="00A80023"/>
    <w:rsid w:val="00A84A58"/>
    <w:rsid w:val="00A855FD"/>
    <w:rsid w:val="00A86B99"/>
    <w:rsid w:val="00A9215B"/>
    <w:rsid w:val="00A929A9"/>
    <w:rsid w:val="00A93032"/>
    <w:rsid w:val="00A94B4B"/>
    <w:rsid w:val="00A95CB1"/>
    <w:rsid w:val="00A96594"/>
    <w:rsid w:val="00AA19D5"/>
    <w:rsid w:val="00AA41BA"/>
    <w:rsid w:val="00AA5E3F"/>
    <w:rsid w:val="00AA6D0D"/>
    <w:rsid w:val="00AA6FA3"/>
    <w:rsid w:val="00AB0E76"/>
    <w:rsid w:val="00AB15E8"/>
    <w:rsid w:val="00AB2BBA"/>
    <w:rsid w:val="00AC010F"/>
    <w:rsid w:val="00AC1626"/>
    <w:rsid w:val="00AC173D"/>
    <w:rsid w:val="00AC428E"/>
    <w:rsid w:val="00AC4731"/>
    <w:rsid w:val="00AC54C9"/>
    <w:rsid w:val="00AC62F0"/>
    <w:rsid w:val="00AC76DA"/>
    <w:rsid w:val="00AD344F"/>
    <w:rsid w:val="00AD6005"/>
    <w:rsid w:val="00AD7C90"/>
    <w:rsid w:val="00AE49A0"/>
    <w:rsid w:val="00AE4FFD"/>
    <w:rsid w:val="00AF24FA"/>
    <w:rsid w:val="00AF387F"/>
    <w:rsid w:val="00AF397D"/>
    <w:rsid w:val="00AF706A"/>
    <w:rsid w:val="00B00E7F"/>
    <w:rsid w:val="00B0594B"/>
    <w:rsid w:val="00B06131"/>
    <w:rsid w:val="00B07FC9"/>
    <w:rsid w:val="00B11FBC"/>
    <w:rsid w:val="00B12CC8"/>
    <w:rsid w:val="00B1321C"/>
    <w:rsid w:val="00B14A19"/>
    <w:rsid w:val="00B17112"/>
    <w:rsid w:val="00B17567"/>
    <w:rsid w:val="00B1767F"/>
    <w:rsid w:val="00B21055"/>
    <w:rsid w:val="00B2180C"/>
    <w:rsid w:val="00B21DCC"/>
    <w:rsid w:val="00B22B06"/>
    <w:rsid w:val="00B22C5F"/>
    <w:rsid w:val="00B23524"/>
    <w:rsid w:val="00B244B1"/>
    <w:rsid w:val="00B25F37"/>
    <w:rsid w:val="00B32D91"/>
    <w:rsid w:val="00B37158"/>
    <w:rsid w:val="00B41119"/>
    <w:rsid w:val="00B425AA"/>
    <w:rsid w:val="00B44422"/>
    <w:rsid w:val="00B46EA0"/>
    <w:rsid w:val="00B474CD"/>
    <w:rsid w:val="00B50BA2"/>
    <w:rsid w:val="00B53EA7"/>
    <w:rsid w:val="00B5408A"/>
    <w:rsid w:val="00B542C5"/>
    <w:rsid w:val="00B55714"/>
    <w:rsid w:val="00B60EE0"/>
    <w:rsid w:val="00B6343A"/>
    <w:rsid w:val="00B63BBA"/>
    <w:rsid w:val="00B731D3"/>
    <w:rsid w:val="00B75B57"/>
    <w:rsid w:val="00B77C18"/>
    <w:rsid w:val="00B811B3"/>
    <w:rsid w:val="00B813BC"/>
    <w:rsid w:val="00B81A88"/>
    <w:rsid w:val="00B82D0E"/>
    <w:rsid w:val="00B839A3"/>
    <w:rsid w:val="00B84272"/>
    <w:rsid w:val="00B84736"/>
    <w:rsid w:val="00B902BD"/>
    <w:rsid w:val="00B92376"/>
    <w:rsid w:val="00B92501"/>
    <w:rsid w:val="00B95C6F"/>
    <w:rsid w:val="00B97E57"/>
    <w:rsid w:val="00BA060C"/>
    <w:rsid w:val="00BA1009"/>
    <w:rsid w:val="00BA72EB"/>
    <w:rsid w:val="00BB0EC9"/>
    <w:rsid w:val="00BB3262"/>
    <w:rsid w:val="00BB59A9"/>
    <w:rsid w:val="00BC2019"/>
    <w:rsid w:val="00BC51CB"/>
    <w:rsid w:val="00BC7236"/>
    <w:rsid w:val="00BD0DE5"/>
    <w:rsid w:val="00BD2A39"/>
    <w:rsid w:val="00BD2E80"/>
    <w:rsid w:val="00BD49FF"/>
    <w:rsid w:val="00BD4B64"/>
    <w:rsid w:val="00BD5B98"/>
    <w:rsid w:val="00BD77E1"/>
    <w:rsid w:val="00BE11B8"/>
    <w:rsid w:val="00BE2B4B"/>
    <w:rsid w:val="00BF0DDF"/>
    <w:rsid w:val="00BF178F"/>
    <w:rsid w:val="00BF45A3"/>
    <w:rsid w:val="00BF7FF0"/>
    <w:rsid w:val="00C0413B"/>
    <w:rsid w:val="00C11AEA"/>
    <w:rsid w:val="00C12502"/>
    <w:rsid w:val="00C13F6D"/>
    <w:rsid w:val="00C26B3B"/>
    <w:rsid w:val="00C27AD6"/>
    <w:rsid w:val="00C40AA5"/>
    <w:rsid w:val="00C426A1"/>
    <w:rsid w:val="00C46F70"/>
    <w:rsid w:val="00C476D0"/>
    <w:rsid w:val="00C51C20"/>
    <w:rsid w:val="00C51D00"/>
    <w:rsid w:val="00C54532"/>
    <w:rsid w:val="00C54DB8"/>
    <w:rsid w:val="00C6434A"/>
    <w:rsid w:val="00C64555"/>
    <w:rsid w:val="00C72688"/>
    <w:rsid w:val="00C7379C"/>
    <w:rsid w:val="00C74398"/>
    <w:rsid w:val="00C830B9"/>
    <w:rsid w:val="00C836E3"/>
    <w:rsid w:val="00C836FF"/>
    <w:rsid w:val="00C8535C"/>
    <w:rsid w:val="00C854DC"/>
    <w:rsid w:val="00C86577"/>
    <w:rsid w:val="00C91C02"/>
    <w:rsid w:val="00C92E07"/>
    <w:rsid w:val="00C96464"/>
    <w:rsid w:val="00C96868"/>
    <w:rsid w:val="00CA0416"/>
    <w:rsid w:val="00CA207A"/>
    <w:rsid w:val="00CA254C"/>
    <w:rsid w:val="00CA287A"/>
    <w:rsid w:val="00CA5734"/>
    <w:rsid w:val="00CA7DD0"/>
    <w:rsid w:val="00CB115C"/>
    <w:rsid w:val="00CC33B8"/>
    <w:rsid w:val="00CC3438"/>
    <w:rsid w:val="00CC3764"/>
    <w:rsid w:val="00CC3A35"/>
    <w:rsid w:val="00CC452D"/>
    <w:rsid w:val="00CC5311"/>
    <w:rsid w:val="00CC5465"/>
    <w:rsid w:val="00CC5468"/>
    <w:rsid w:val="00CC560B"/>
    <w:rsid w:val="00CC5EE8"/>
    <w:rsid w:val="00CC75E2"/>
    <w:rsid w:val="00CD46EB"/>
    <w:rsid w:val="00CD7EBF"/>
    <w:rsid w:val="00CE0DE3"/>
    <w:rsid w:val="00CE1368"/>
    <w:rsid w:val="00CE51C2"/>
    <w:rsid w:val="00CE59AA"/>
    <w:rsid w:val="00CE6EF5"/>
    <w:rsid w:val="00CF067D"/>
    <w:rsid w:val="00CF0933"/>
    <w:rsid w:val="00CF0E86"/>
    <w:rsid w:val="00CF2EDD"/>
    <w:rsid w:val="00CF4DB2"/>
    <w:rsid w:val="00D00DFA"/>
    <w:rsid w:val="00D03F30"/>
    <w:rsid w:val="00D056F1"/>
    <w:rsid w:val="00D06616"/>
    <w:rsid w:val="00D1307A"/>
    <w:rsid w:val="00D144D7"/>
    <w:rsid w:val="00D147E8"/>
    <w:rsid w:val="00D15A08"/>
    <w:rsid w:val="00D2239B"/>
    <w:rsid w:val="00D23DB6"/>
    <w:rsid w:val="00D3215B"/>
    <w:rsid w:val="00D35AEB"/>
    <w:rsid w:val="00D35F3B"/>
    <w:rsid w:val="00D405C6"/>
    <w:rsid w:val="00D47F00"/>
    <w:rsid w:val="00D5047D"/>
    <w:rsid w:val="00D51A95"/>
    <w:rsid w:val="00D53725"/>
    <w:rsid w:val="00D55703"/>
    <w:rsid w:val="00D56057"/>
    <w:rsid w:val="00D57173"/>
    <w:rsid w:val="00D60568"/>
    <w:rsid w:val="00D6096F"/>
    <w:rsid w:val="00D70C7A"/>
    <w:rsid w:val="00D71A26"/>
    <w:rsid w:val="00D72A29"/>
    <w:rsid w:val="00D77963"/>
    <w:rsid w:val="00D834E5"/>
    <w:rsid w:val="00D92DA6"/>
    <w:rsid w:val="00D96887"/>
    <w:rsid w:val="00D96C9C"/>
    <w:rsid w:val="00DA10A8"/>
    <w:rsid w:val="00DB123A"/>
    <w:rsid w:val="00DB1E08"/>
    <w:rsid w:val="00DB2973"/>
    <w:rsid w:val="00DB3119"/>
    <w:rsid w:val="00DB390A"/>
    <w:rsid w:val="00DB4DB9"/>
    <w:rsid w:val="00DC036B"/>
    <w:rsid w:val="00DC0FBA"/>
    <w:rsid w:val="00DC1B56"/>
    <w:rsid w:val="00DC20CC"/>
    <w:rsid w:val="00DC2129"/>
    <w:rsid w:val="00DC6570"/>
    <w:rsid w:val="00DD265C"/>
    <w:rsid w:val="00DD2711"/>
    <w:rsid w:val="00DD3703"/>
    <w:rsid w:val="00DE5528"/>
    <w:rsid w:val="00DF25C3"/>
    <w:rsid w:val="00DF5CFF"/>
    <w:rsid w:val="00DF72BB"/>
    <w:rsid w:val="00DF7B5D"/>
    <w:rsid w:val="00E0193B"/>
    <w:rsid w:val="00E04062"/>
    <w:rsid w:val="00E063C6"/>
    <w:rsid w:val="00E14C91"/>
    <w:rsid w:val="00E1660C"/>
    <w:rsid w:val="00E2003B"/>
    <w:rsid w:val="00E26707"/>
    <w:rsid w:val="00E26887"/>
    <w:rsid w:val="00E279D8"/>
    <w:rsid w:val="00E30092"/>
    <w:rsid w:val="00E319B1"/>
    <w:rsid w:val="00E327A6"/>
    <w:rsid w:val="00E3684F"/>
    <w:rsid w:val="00E37345"/>
    <w:rsid w:val="00E4092B"/>
    <w:rsid w:val="00E42591"/>
    <w:rsid w:val="00E4512D"/>
    <w:rsid w:val="00E47D3B"/>
    <w:rsid w:val="00E5077E"/>
    <w:rsid w:val="00E51618"/>
    <w:rsid w:val="00E5492F"/>
    <w:rsid w:val="00E572B1"/>
    <w:rsid w:val="00E6369A"/>
    <w:rsid w:val="00E672E9"/>
    <w:rsid w:val="00E67574"/>
    <w:rsid w:val="00E70A86"/>
    <w:rsid w:val="00E70E6B"/>
    <w:rsid w:val="00E721AB"/>
    <w:rsid w:val="00E72B8C"/>
    <w:rsid w:val="00E73E50"/>
    <w:rsid w:val="00E777EC"/>
    <w:rsid w:val="00E80FCD"/>
    <w:rsid w:val="00E847D8"/>
    <w:rsid w:val="00E92E6F"/>
    <w:rsid w:val="00E97CC5"/>
    <w:rsid w:val="00EA2226"/>
    <w:rsid w:val="00EA65A3"/>
    <w:rsid w:val="00EA7DB0"/>
    <w:rsid w:val="00EA7F2F"/>
    <w:rsid w:val="00EB346B"/>
    <w:rsid w:val="00EB576F"/>
    <w:rsid w:val="00EB6590"/>
    <w:rsid w:val="00EC00DE"/>
    <w:rsid w:val="00EC21DF"/>
    <w:rsid w:val="00EC257D"/>
    <w:rsid w:val="00EC2DEC"/>
    <w:rsid w:val="00EC30E1"/>
    <w:rsid w:val="00EC3436"/>
    <w:rsid w:val="00EC66BB"/>
    <w:rsid w:val="00EC7F3A"/>
    <w:rsid w:val="00ED172A"/>
    <w:rsid w:val="00ED2460"/>
    <w:rsid w:val="00EE01DC"/>
    <w:rsid w:val="00EE72A1"/>
    <w:rsid w:val="00EF0D09"/>
    <w:rsid w:val="00EF11BF"/>
    <w:rsid w:val="00EF5BBA"/>
    <w:rsid w:val="00F0045C"/>
    <w:rsid w:val="00F03A4E"/>
    <w:rsid w:val="00F115E6"/>
    <w:rsid w:val="00F12890"/>
    <w:rsid w:val="00F149DB"/>
    <w:rsid w:val="00F14AB3"/>
    <w:rsid w:val="00F14BEC"/>
    <w:rsid w:val="00F163DC"/>
    <w:rsid w:val="00F177A3"/>
    <w:rsid w:val="00F2160C"/>
    <w:rsid w:val="00F21F67"/>
    <w:rsid w:val="00F224B7"/>
    <w:rsid w:val="00F225C5"/>
    <w:rsid w:val="00F227E0"/>
    <w:rsid w:val="00F234E7"/>
    <w:rsid w:val="00F24177"/>
    <w:rsid w:val="00F2587A"/>
    <w:rsid w:val="00F258DC"/>
    <w:rsid w:val="00F33470"/>
    <w:rsid w:val="00F34E02"/>
    <w:rsid w:val="00F35742"/>
    <w:rsid w:val="00F3715D"/>
    <w:rsid w:val="00F37A10"/>
    <w:rsid w:val="00F420C8"/>
    <w:rsid w:val="00F42A4C"/>
    <w:rsid w:val="00F526BD"/>
    <w:rsid w:val="00F56E84"/>
    <w:rsid w:val="00F634A1"/>
    <w:rsid w:val="00F64C63"/>
    <w:rsid w:val="00F76C92"/>
    <w:rsid w:val="00F80815"/>
    <w:rsid w:val="00F915F8"/>
    <w:rsid w:val="00FA0787"/>
    <w:rsid w:val="00FA2DA1"/>
    <w:rsid w:val="00FB12B0"/>
    <w:rsid w:val="00FB171F"/>
    <w:rsid w:val="00FB5F9E"/>
    <w:rsid w:val="00FB7300"/>
    <w:rsid w:val="00FB7512"/>
    <w:rsid w:val="00FC2921"/>
    <w:rsid w:val="00FD7547"/>
    <w:rsid w:val="00FE08AD"/>
    <w:rsid w:val="00FE0D8F"/>
    <w:rsid w:val="00FE287B"/>
    <w:rsid w:val="00FE3464"/>
    <w:rsid w:val="00FE6628"/>
    <w:rsid w:val="00FE6B50"/>
    <w:rsid w:val="00FF086E"/>
    <w:rsid w:val="00FF1B03"/>
    <w:rsid w:val="00FF2311"/>
    <w:rsid w:val="00FF4AE4"/>
    <w:rsid w:val="00FF5F5C"/>
    <w:rsid w:val="00FF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14F98A1"/>
  <w15:docId w15:val="{3E700B1B-C2CF-4E1D-9F7D-3CED9FFF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663713"/>
    <w:pPr>
      <w:widowControl/>
      <w:numPr>
        <w:numId w:val="45"/>
      </w:numPr>
      <w:ind w:left="567" w:hanging="567"/>
    </w:pPr>
    <w:rPr>
      <w:rFonts w:cs="Arial"/>
      <w:lang w:bidi="ar-SA"/>
    </w:rPr>
  </w:style>
  <w:style w:type="character" w:customStyle="1" w:styleId="FSBullet1Char">
    <w:name w:val="FSBullet 1 Char"/>
    <w:link w:val="FSBullet1"/>
    <w:rsid w:val="00663713"/>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Paragraph">
    <w:name w:val="Paragraph"/>
    <w:basedOn w:val="Normal"/>
    <w:next w:val="Normal"/>
    <w:qFormat/>
    <w:rsid w:val="002D2FC9"/>
    <w:pPr>
      <w:ind w:left="1702" w:hanging="851"/>
    </w:pPr>
    <w:rPr>
      <w:sz w:val="20"/>
      <w:szCs w:val="20"/>
    </w:rPr>
  </w:style>
  <w:style w:type="paragraph" w:customStyle="1" w:styleId="Subclause">
    <w:name w:val="Subclause"/>
    <w:basedOn w:val="Normal"/>
    <w:rsid w:val="002D2FC9"/>
    <w:pPr>
      <w:tabs>
        <w:tab w:val="left" w:pos="851"/>
      </w:tabs>
      <w:ind w:hanging="11"/>
    </w:pPr>
    <w:rPr>
      <w:sz w:val="20"/>
      <w:szCs w:val="20"/>
    </w:rPr>
  </w:style>
  <w:style w:type="paragraph" w:customStyle="1" w:styleId="Subparagraph">
    <w:name w:val="Subparagraph"/>
    <w:basedOn w:val="Paragraph"/>
    <w:next w:val="Normal"/>
    <w:qFormat/>
    <w:rsid w:val="002D2FC9"/>
    <w:pPr>
      <w:ind w:left="2553"/>
    </w:pPr>
  </w:style>
  <w:style w:type="paragraph" w:customStyle="1" w:styleId="FSCtAmendingwords">
    <w:name w:val="FSC_t_Amending_words"/>
    <w:basedOn w:val="Normal"/>
    <w:qFormat/>
    <w:rsid w:val="002D2FC9"/>
    <w:pPr>
      <w:keepLines/>
      <w:widowControl/>
      <w:spacing w:before="120"/>
      <w:ind w:left="1134"/>
    </w:pPr>
    <w:rPr>
      <w:rFonts w:cs="Arial"/>
      <w:iCs/>
      <w:sz w:val="20"/>
      <w:szCs w:val="22"/>
      <w:lang w:val="en-AU" w:eastAsia="en-AU" w:bidi="ar-SA"/>
    </w:rPr>
  </w:style>
  <w:style w:type="paragraph" w:styleId="ListParagraph">
    <w:name w:val="List Paragraph"/>
    <w:basedOn w:val="Normal"/>
    <w:uiPriority w:val="34"/>
    <w:rsid w:val="00895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90856031">
      <w:bodyDiv w:val="1"/>
      <w:marLeft w:val="0"/>
      <w:marRight w:val="0"/>
      <w:marTop w:val="0"/>
      <w:marBottom w:val="0"/>
      <w:divBdr>
        <w:top w:val="none" w:sz="0" w:space="0" w:color="auto"/>
        <w:left w:val="none" w:sz="0" w:space="0" w:color="auto"/>
        <w:bottom w:val="none" w:sz="0" w:space="0" w:color="auto"/>
        <w:right w:val="none" w:sz="0" w:space="0" w:color="auto"/>
      </w:divBdr>
    </w:div>
    <w:div w:id="346099681">
      <w:bodyDiv w:val="1"/>
      <w:marLeft w:val="0"/>
      <w:marRight w:val="0"/>
      <w:marTop w:val="0"/>
      <w:marBottom w:val="0"/>
      <w:divBdr>
        <w:top w:val="none" w:sz="0" w:space="0" w:color="auto"/>
        <w:left w:val="none" w:sz="0" w:space="0" w:color="auto"/>
        <w:bottom w:val="none" w:sz="0" w:space="0" w:color="auto"/>
        <w:right w:val="none" w:sz="0" w:space="0" w:color="auto"/>
      </w:divBdr>
    </w:div>
    <w:div w:id="45044182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64153200">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48298491">
      <w:bodyDiv w:val="1"/>
      <w:marLeft w:val="0"/>
      <w:marRight w:val="0"/>
      <w:marTop w:val="0"/>
      <w:marBottom w:val="0"/>
      <w:divBdr>
        <w:top w:val="none" w:sz="0" w:space="0" w:color="auto"/>
        <w:left w:val="none" w:sz="0" w:space="0" w:color="auto"/>
        <w:bottom w:val="none" w:sz="0" w:space="0" w:color="auto"/>
        <w:right w:val="none" w:sz="0" w:space="0" w:color="auto"/>
      </w:divBdr>
    </w:div>
    <w:div w:id="958993253">
      <w:bodyDiv w:val="1"/>
      <w:marLeft w:val="0"/>
      <w:marRight w:val="0"/>
      <w:marTop w:val="0"/>
      <w:marBottom w:val="0"/>
      <w:divBdr>
        <w:top w:val="none" w:sz="0" w:space="0" w:color="auto"/>
        <w:left w:val="none" w:sz="0" w:space="0" w:color="auto"/>
        <w:bottom w:val="none" w:sz="0" w:space="0" w:color="auto"/>
        <w:right w:val="none" w:sz="0" w:space="0" w:color="auto"/>
      </w:divBdr>
    </w:div>
    <w:div w:id="1640186608">
      <w:bodyDiv w:val="1"/>
      <w:marLeft w:val="0"/>
      <w:marRight w:val="0"/>
      <w:marTop w:val="0"/>
      <w:marBottom w:val="0"/>
      <w:divBdr>
        <w:top w:val="none" w:sz="0" w:space="0" w:color="auto"/>
        <w:left w:val="none" w:sz="0" w:space="0" w:color="auto"/>
        <w:bottom w:val="none" w:sz="0" w:space="0" w:color="auto"/>
        <w:right w:val="none" w:sz="0" w:space="0" w:color="auto"/>
      </w:divBdr>
    </w:div>
    <w:div w:id="169098574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711BEC-4B91-4692-8251-954A8538C0DC}"/>
</file>

<file path=customXml/itemProps2.xml><?xml version="1.0" encoding="utf-8"?>
<ds:datastoreItem xmlns:ds="http://schemas.openxmlformats.org/officeDocument/2006/customXml" ds:itemID="{4FD06D4A-67ED-4849-B6E5-A2E7C6B87EA9}"/>
</file>

<file path=customXml/itemProps3.xml><?xml version="1.0" encoding="utf-8"?>
<ds:datastoreItem xmlns:ds="http://schemas.openxmlformats.org/officeDocument/2006/customXml" ds:itemID="{0EE75633-377C-40B9-9C05-B8CF99A8A702}"/>
</file>

<file path=customXml/itemProps4.xml><?xml version="1.0" encoding="utf-8"?>
<ds:datastoreItem xmlns:ds="http://schemas.openxmlformats.org/officeDocument/2006/customXml" ds:itemID="{6947B421-4210-4910-8797-CC32AC09A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711BEC-4B91-4692-8251-954A8538C0DC}">
  <ds:schemaRefs>
    <ds:schemaRef ds:uri="http://schemas.microsoft.com/sharepoint/v3/contenttype/forms"/>
  </ds:schemaRefs>
</ds:datastoreItem>
</file>

<file path=customXml/itemProps6.xml><?xml version="1.0" encoding="utf-8"?>
<ds:datastoreItem xmlns:ds="http://schemas.openxmlformats.org/officeDocument/2006/customXml" ds:itemID="{3CF358D8-6D76-4C3A-B945-7D453661E13A}"/>
</file>

<file path=customXml/itemProps7.xml><?xml version="1.0" encoding="utf-8"?>
<ds:datastoreItem xmlns:ds="http://schemas.openxmlformats.org/officeDocument/2006/customXml" ds:itemID="{DA9859E9-EDB3-4A94-9157-081F7825F803}"/>
</file>

<file path=docProps/app.xml><?xml version="1.0" encoding="utf-8"?>
<Properties xmlns="http://schemas.openxmlformats.org/officeDocument/2006/extended-properties" xmlns:vt="http://schemas.openxmlformats.org/officeDocument/2006/docPropsVTypes">
  <Template>Normal</Template>
  <TotalTime>2</TotalTime>
  <Pages>20</Pages>
  <Words>4535</Words>
  <Characters>25853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30328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maypet</dc:creator>
  <cp:keywords/>
  <cp:lastModifiedBy>Christine Coughlan</cp:lastModifiedBy>
  <cp:revision>3</cp:revision>
  <cp:lastPrinted>2018-08-09T06:28:00Z</cp:lastPrinted>
  <dcterms:created xsi:type="dcterms:W3CDTF">2018-08-21T06:57:00Z</dcterms:created>
  <dcterms:modified xsi:type="dcterms:W3CDTF">2018-09-16T22:35:00Z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40e02f3f-87c2-46bf-a880-a6cd0b93ad03</vt:lpwstr>
  </property>
  <property fmtid="{D5CDD505-2E9C-101B-9397-08002B2CF9AE}" pid="4" name="BCS_">
    <vt:lpwstr>102;#GOVERNING BODIES:Board meetings:Agenda papers|6e530783-c5c6-4772-93f9-dbabdcf97c03</vt:lpwstr>
  </property>
  <property fmtid="{D5CDD505-2E9C-101B-9397-08002B2CF9AE}" pid="5" name="DisposalClass">
    <vt:lpwstr/>
  </property>
  <property fmtid="{D5CDD505-2E9C-101B-9397-08002B2CF9AE}" pid="6" name="SPPCopyMoveEvent">
    <vt:lpwstr>0</vt:lpwstr>
  </property>
  <property fmtid="{D5CDD505-2E9C-101B-9397-08002B2CF9AE}" pid="7" name="TitusGUID">
    <vt:lpwstr>bce98f92-57e1-419f-a6c1-efd3e897f20f</vt:lpwstr>
  </property>
  <property fmtid="{D5CDD505-2E9C-101B-9397-08002B2CF9AE}" pid="8" name="docIndexRef">
    <vt:lpwstr>dedde2d6-a049-4009-988f-8b3f2b5bb864</vt:lpwstr>
  </property>
  <property fmtid="{D5CDD505-2E9C-101B-9397-08002B2CF9AE}" pid="9" name="bjSaver">
    <vt:lpwstr>KIQQKttxHBgwi+VEyeCGdqx2UPmxlBIO</vt:lpwstr>
  </property>
  <property fmtid="{D5CDD505-2E9C-101B-9397-08002B2CF9AE}" pid="10" name="RecordPoint_WorkflowType">
    <vt:lpwstr>ActiveSubmitStub</vt:lpwstr>
  </property>
  <property fmtid="{D5CDD505-2E9C-101B-9397-08002B2CF9AE}" pid="11" name="RecordPoint_ActiveItemWebId">
    <vt:lpwstr>{beaf5e4e-56f7-4162-a562-e1aa20d4afa3}</vt:lpwstr>
  </property>
  <property fmtid="{D5CDD505-2E9C-101B-9397-08002B2CF9AE}" pid="12" name="RecordPoint_ActiveItemSiteId">
    <vt:lpwstr>{dd95a578-5c6a-4f11-92f7-f95884d628d6}</vt:lpwstr>
  </property>
  <property fmtid="{D5CDD505-2E9C-101B-9397-08002B2CF9AE}" pid="13" name="RecordPoint_ActiveItemListId">
    <vt:lpwstr>{c69fbd24-6128-415b-93dd-ad270481f24f}</vt:lpwstr>
  </property>
  <property fmtid="{D5CDD505-2E9C-101B-9397-08002B2CF9AE}" pid="14" name="RecordPoint_ActiveItemUniqueId">
    <vt:lpwstr>{4b0adf4e-0670-4055-b849-85afa90c5eb6}</vt:lpwstr>
  </property>
  <property fmtid="{D5CDD505-2E9C-101B-9397-08002B2CF9AE}" pid="15" name="RecordPoint_RecordNumberSubmitted">
    <vt:lpwstr>R0000063004</vt:lpwstr>
  </property>
  <property fmtid="{D5CDD505-2E9C-101B-9397-08002B2CF9AE}" pid="16" name="RecordPoint_SubmissionCompleted">
    <vt:lpwstr>2018-07-12T18:50:32.0424083+10:00</vt:lpwstr>
  </property>
  <property fmtid="{D5CDD505-2E9C-101B-9397-08002B2CF9AE}" pid="17"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8" name="bjDocumentLabelXML-0">
    <vt:lpwstr>ames.com/2008/01/sie/internal/label"&gt;&lt;element uid="a68a5297-83bb-4ba8-a7cd-4b62d6981a77" value="" /&gt;&lt;/sisl&gt;</vt:lpwstr>
  </property>
  <property fmtid="{D5CDD505-2E9C-101B-9397-08002B2CF9AE}" pid="19" name="bjDocumentSecurityLabel">
    <vt:lpwstr>NO SECURITY CLASSIFICATION REQUIRED</vt:lpwstr>
  </property>
</Properties>
</file>